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right="57" w:rightChars="27"/>
        <w:jc w:val="center"/>
        <w:outlineLvl w:val="0"/>
        <w:rPr>
          <w:rFonts w:ascii="宋体" w:hAnsi="宋体" w:cs="宋体"/>
          <w:w w:val="100"/>
          <w:kern w:val="0"/>
          <w:position w:val="0"/>
          <w:sz w:val="52"/>
          <w:szCs w:val="52"/>
        </w:rPr>
      </w:pPr>
      <w:r>
        <w:rPr>
          <w:rFonts w:hint="eastAsia" w:ascii="宋体" w:hAnsi="宋体" w:cs="宋体"/>
          <w:w w:val="100"/>
          <w:kern w:val="0"/>
          <w:position w:val="0"/>
          <w:sz w:val="52"/>
          <w:szCs w:val="52"/>
        </w:rPr>
        <w:t>2020年“百行进万企”活动</w:t>
      </w:r>
    </w:p>
    <w:p>
      <w:pPr>
        <w:pStyle w:val="6"/>
        <w:ind w:right="57" w:rightChars="27"/>
        <w:jc w:val="center"/>
        <w:outlineLvl w:val="0"/>
        <w:rPr>
          <w:rFonts w:ascii="宋体" w:hAnsi="宋体" w:cs="宋体"/>
          <w:spacing w:val="-24"/>
          <w:w w:val="63"/>
          <w:position w:val="0"/>
          <w:sz w:val="52"/>
          <w:szCs w:val="52"/>
        </w:rPr>
      </w:pPr>
      <w:r>
        <w:rPr>
          <w:rFonts w:hint="eastAsia" w:ascii="宋体" w:hAnsi="宋体" w:cs="宋体"/>
          <w:w w:val="100"/>
          <w:kern w:val="0"/>
          <w:position w:val="0"/>
          <w:sz w:val="52"/>
          <w:szCs w:val="52"/>
        </w:rPr>
        <w:t>工作简报</w:t>
      </w:r>
    </w:p>
    <w:p>
      <w:pPr>
        <w:pStyle w:val="6"/>
        <w:tabs>
          <w:tab w:val="left" w:pos="2520"/>
        </w:tabs>
        <w:ind w:right="57" w:rightChars="27"/>
        <w:jc w:val="center"/>
        <w:outlineLvl w:val="0"/>
        <w:rPr>
          <w:rFonts w:ascii="宋体" w:hAnsi="宋体" w:cs="宋体"/>
          <w:color w:val="000000"/>
          <w:spacing w:val="-24"/>
          <w:w w:val="63"/>
          <w:position w:val="0"/>
          <w:sz w:val="44"/>
          <w:szCs w:val="44"/>
        </w:rPr>
      </w:pPr>
      <w:r>
        <w:rPr>
          <w:rFonts w:hint="eastAsia" w:ascii="宋体" w:hAnsi="宋体" w:cs="宋体"/>
          <w:color w:val="000000"/>
          <w:spacing w:val="-24"/>
          <w:w w:val="63"/>
          <w:position w:val="0"/>
          <w:sz w:val="44"/>
          <w:szCs w:val="44"/>
        </w:rPr>
        <w:t xml:space="preserve">第 一期 </w:t>
      </w:r>
    </w:p>
    <w:p>
      <w:pPr>
        <w:pStyle w:val="6"/>
        <w:ind w:right="57" w:rightChars="27"/>
        <w:jc w:val="center"/>
        <w:outlineLvl w:val="0"/>
        <w:rPr>
          <w:rFonts w:ascii="楷体" w:hAnsi="楷体" w:eastAsia="楷体" w:cs="楷体"/>
          <w:spacing w:val="-24"/>
          <w:w w:val="63"/>
          <w:position w:val="0"/>
          <w:sz w:val="18"/>
        </w:rPr>
      </w:pPr>
    </w:p>
    <w:p>
      <w:pPr>
        <w:pStyle w:val="6"/>
        <w:spacing w:line="360" w:lineRule="auto"/>
        <w:rPr>
          <w:rFonts w:ascii="宋体" w:hAnsi="宋体" w:cs="仿宋"/>
          <w:color w:val="000000"/>
          <w:w w:val="100"/>
          <w:position w:val="0"/>
          <w:sz w:val="36"/>
          <w:szCs w:val="36"/>
        </w:rPr>
      </w:pPr>
      <w:r>
        <w:rPr>
          <w:rFonts w:ascii="宋体" w:hAnsi="宋体"/>
          <w:w w:val="100"/>
        </w:rPr>
        <w:pict>
          <v:line id="Line 4" o:spid="_x0000_s2056" o:spt="20" style="position:absolute;left:0pt;margin-left:-0.65pt;margin-top:29.35pt;height:1.4pt;width:441.95pt;z-index:251663360;mso-width-relative:page;mso-height-relative:page;" stroked="t" coordsize="21600,21600">
            <v:path arrowok="t"/>
            <v:fill focussize="0,0"/>
            <v:stroke weight="2.25pt" color="#FF0000"/>
            <v:imagedata o:title=""/>
            <o:lock v:ext="edit"/>
          </v:line>
        </w:pict>
      </w:r>
      <w:r>
        <w:rPr>
          <w:rFonts w:hint="eastAsia" w:ascii="宋体" w:hAnsi="宋体" w:cs="仿宋"/>
          <w:color w:val="000000"/>
          <w:w w:val="100"/>
          <w:position w:val="0"/>
          <w:sz w:val="36"/>
          <w:szCs w:val="36"/>
        </w:rPr>
        <w:t>滁州市银行业协会               2020年1月20日</w:t>
      </w:r>
    </w:p>
    <w:p>
      <w:pPr>
        <w:pStyle w:val="6"/>
        <w:spacing w:line="360" w:lineRule="auto"/>
        <w:rPr>
          <w:rFonts w:ascii="宋体" w:hAnsi="宋体" w:cs="仿宋"/>
          <w:color w:val="000000"/>
          <w:w w:val="100"/>
          <w:position w:val="0"/>
          <w:sz w:val="36"/>
          <w:szCs w:val="36"/>
        </w:rPr>
      </w:pPr>
    </w:p>
    <w:p>
      <w:pPr>
        <w:pStyle w:val="7"/>
        <w:rPr>
          <w:color w:val="000000"/>
          <w:sz w:val="30"/>
          <w:szCs w:val="30"/>
        </w:rPr>
      </w:pPr>
      <w:r>
        <w:rPr>
          <w:color w:val="000000"/>
          <w:sz w:val="30"/>
          <w:szCs w:val="30"/>
        </w:rPr>
        <w:t>本 期 摘 要</w:t>
      </w:r>
    </w:p>
    <w:p>
      <w:pPr>
        <w:pStyle w:val="7"/>
        <w:rPr>
          <w:color w:val="000000"/>
          <w:sz w:val="30"/>
          <w:szCs w:val="30"/>
        </w:rPr>
      </w:pPr>
      <w:r>
        <w:rPr>
          <w:color w:val="000000"/>
          <w:sz w:val="30"/>
          <w:szCs w:val="30"/>
        </w:rPr>
        <w:t>【</w:t>
      </w:r>
      <w:r>
        <w:rPr>
          <w:rFonts w:hint="eastAsia"/>
          <w:color w:val="000000"/>
          <w:sz w:val="30"/>
          <w:szCs w:val="30"/>
        </w:rPr>
        <w:t xml:space="preserve">滁州市银行业召开“百行进万企”活动媒体发布会  </w:t>
      </w:r>
      <w:r>
        <w:rPr>
          <w:color w:val="000000"/>
          <w:sz w:val="30"/>
          <w:szCs w:val="30"/>
        </w:rPr>
        <w:t>】</w:t>
      </w:r>
    </w:p>
    <w:p>
      <w:pPr>
        <w:pStyle w:val="7"/>
        <w:rPr>
          <w:rFonts w:hint="eastAsia"/>
          <w:color w:val="000000"/>
          <w:sz w:val="30"/>
          <w:szCs w:val="30"/>
        </w:rPr>
      </w:pPr>
      <w:r>
        <w:rPr>
          <w:rFonts w:hint="eastAsia" w:ascii="华文仿宋" w:hAnsi="华文仿宋" w:eastAsia="华文仿宋"/>
          <w:color w:val="000000"/>
          <w:sz w:val="30"/>
          <w:szCs w:val="30"/>
        </w:rPr>
        <w:t>◆</w:t>
      </w:r>
      <w:r>
        <w:rPr>
          <w:rFonts w:hint="eastAsia"/>
          <w:color w:val="000000"/>
          <w:sz w:val="30"/>
          <w:szCs w:val="30"/>
        </w:rPr>
        <w:t>我市各</w:t>
      </w:r>
      <w:r>
        <w:rPr>
          <w:rFonts w:hint="eastAsia"/>
          <w:color w:val="000000"/>
          <w:sz w:val="30"/>
          <w:szCs w:val="30"/>
          <w:lang w:eastAsia="zh-CN"/>
        </w:rPr>
        <w:t>金融机构</w:t>
      </w:r>
      <w:r>
        <w:rPr>
          <w:rFonts w:hint="eastAsia"/>
          <w:color w:val="000000"/>
          <w:sz w:val="30"/>
          <w:szCs w:val="30"/>
        </w:rPr>
        <w:t>积极开展“百行进万企”工作</w:t>
      </w:r>
    </w:p>
    <w:p>
      <w:pPr>
        <w:pStyle w:val="7"/>
        <w:rPr>
          <w:rFonts w:hint="eastAsia"/>
          <w:color w:val="000000"/>
          <w:sz w:val="30"/>
          <w:szCs w:val="30"/>
        </w:rPr>
      </w:pPr>
    </w:p>
    <w:p>
      <w:pPr>
        <w:pStyle w:val="7"/>
        <w:rPr>
          <w:rFonts w:hint="eastAsia"/>
          <w:color w:val="000000"/>
          <w:sz w:val="30"/>
          <w:szCs w:val="30"/>
        </w:rPr>
      </w:pPr>
    </w:p>
    <w:p>
      <w:pPr>
        <w:pStyle w:val="7"/>
        <w:rPr>
          <w:rFonts w:hint="eastAsia"/>
          <w:color w:val="000000"/>
          <w:sz w:val="30"/>
          <w:szCs w:val="30"/>
        </w:rPr>
      </w:pPr>
    </w:p>
    <w:p>
      <w:pPr>
        <w:pStyle w:val="7"/>
        <w:spacing w:before="0" w:beforeAutospacing="0" w:after="0" w:afterAutospacing="0" w:line="520" w:lineRule="exact"/>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drawing>
          <wp:anchor distT="0" distB="0" distL="114300" distR="114300" simplePos="0" relativeHeight="251727872" behindDoc="0" locked="0" layoutInCell="1" allowOverlap="1">
            <wp:simplePos x="0" y="0"/>
            <wp:positionH relativeFrom="margin">
              <wp:posOffset>85725</wp:posOffset>
            </wp:positionH>
            <wp:positionV relativeFrom="margin">
              <wp:posOffset>1133475</wp:posOffset>
            </wp:positionV>
            <wp:extent cx="5274310" cy="3305175"/>
            <wp:effectExtent l="19050" t="0" r="2540" b="0"/>
            <wp:wrapSquare wrapText="bothSides"/>
            <wp:docPr id="4" name="图片 0" descr="微信图片_2020011914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微信图片_20200119144856.jpg"/>
                    <pic:cNvPicPr>
                      <a:picLocks noChangeAspect="1"/>
                    </pic:cNvPicPr>
                  </pic:nvPicPr>
                  <pic:blipFill>
                    <a:blip r:embed="rId4" cstate="print"/>
                    <a:stretch>
                      <a:fillRect/>
                    </a:stretch>
                  </pic:blipFill>
                  <pic:spPr>
                    <a:xfrm>
                      <a:off x="0" y="0"/>
                      <a:ext cx="5274310" cy="3305175"/>
                    </a:xfrm>
                    <a:prstGeom prst="rect">
                      <a:avLst/>
                    </a:prstGeom>
                  </pic:spPr>
                </pic:pic>
              </a:graphicData>
            </a:graphic>
          </wp:anchor>
        </w:drawing>
      </w:r>
      <w:r>
        <w:rPr>
          <w:rFonts w:hint="eastAsia" w:asciiTheme="minorEastAsia" w:hAnsiTheme="minorEastAsia" w:eastAsiaTheme="minorEastAsia"/>
          <w:b/>
          <w:bCs/>
          <w:sz w:val="36"/>
          <w:szCs w:val="36"/>
        </w:rPr>
        <w:t>滁州市银行业召开媒体</w:t>
      </w:r>
      <w:r>
        <w:rPr>
          <w:rFonts w:hint="eastAsia" w:asciiTheme="minorEastAsia" w:hAnsiTheme="minorEastAsia" w:eastAsiaTheme="minorEastAsia"/>
          <w:b/>
          <w:bCs/>
          <w:sz w:val="36"/>
          <w:szCs w:val="36"/>
          <w:lang w:eastAsia="zh-CN"/>
        </w:rPr>
        <w:t>发布</w:t>
      </w:r>
      <w:r>
        <w:rPr>
          <w:rFonts w:hint="eastAsia" w:asciiTheme="minorEastAsia" w:hAnsiTheme="minorEastAsia" w:eastAsiaTheme="minorEastAsia"/>
          <w:b/>
          <w:bCs/>
          <w:sz w:val="36"/>
          <w:szCs w:val="36"/>
        </w:rPr>
        <w:t>会  推进我市</w:t>
      </w:r>
    </w:p>
    <w:p>
      <w:pPr>
        <w:pStyle w:val="7"/>
        <w:spacing w:before="0" w:beforeAutospacing="0" w:after="0" w:afterAutospacing="0" w:line="520" w:lineRule="exact"/>
        <w:jc w:val="center"/>
        <w:rPr>
          <w:rFonts w:hint="eastAsia" w:asciiTheme="minorEastAsia" w:hAnsiTheme="minorEastAsia" w:eastAsiaTheme="minorEastAsia"/>
          <w:b/>
          <w:bCs/>
          <w:sz w:val="36"/>
          <w:szCs w:val="36"/>
          <w:lang w:eastAsia="zh-CN"/>
        </w:rPr>
      </w:pPr>
      <w:r>
        <w:rPr>
          <w:rFonts w:hint="eastAsia" w:asciiTheme="minorEastAsia" w:hAnsiTheme="minorEastAsia" w:eastAsiaTheme="minorEastAsia"/>
          <w:b/>
          <w:bCs/>
          <w:sz w:val="36"/>
          <w:szCs w:val="36"/>
        </w:rPr>
        <w:t>“百行进万企”活动</w:t>
      </w:r>
      <w:r>
        <w:rPr>
          <w:rFonts w:hint="eastAsia" w:asciiTheme="minorEastAsia" w:hAnsiTheme="minorEastAsia" w:eastAsiaTheme="minorEastAsia"/>
          <w:b/>
          <w:bCs/>
          <w:sz w:val="36"/>
          <w:szCs w:val="36"/>
          <w:lang w:eastAsia="zh-CN"/>
        </w:rPr>
        <w:t>宣传工作</w:t>
      </w:r>
    </w:p>
    <w:p>
      <w:pPr>
        <w:pStyle w:val="7"/>
        <w:spacing w:before="0" w:beforeAutospacing="0" w:after="0" w:afterAutospacing="0" w:line="520" w:lineRule="exact"/>
        <w:ind w:left="2249" w:hanging="2249" w:hangingChars="700"/>
        <w:rPr>
          <w:rFonts w:ascii="仿宋_GB2312" w:eastAsia="仿宋_GB2312"/>
          <w:b/>
          <w:bCs/>
          <w:sz w:val="32"/>
          <w:szCs w:val="32"/>
        </w:rPr>
      </w:pPr>
      <w:r>
        <w:rPr>
          <w:rFonts w:hint="eastAsia" w:ascii="仿宋_GB2312" w:eastAsia="仿宋_GB2312"/>
          <w:b/>
          <w:bCs/>
          <w:sz w:val="32"/>
          <w:szCs w:val="32"/>
        </w:rPr>
        <w:t> </w:t>
      </w:r>
    </w:p>
    <w:p>
      <w:pPr>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rPr>
        <w:t>元月18日，</w:t>
      </w:r>
      <w:r>
        <w:rPr>
          <w:rFonts w:hint="eastAsia" w:ascii="仿宋_GB2312" w:eastAsia="仿宋_GB2312"/>
          <w:sz w:val="32"/>
          <w:szCs w:val="32"/>
          <w:lang w:val="en-US" w:eastAsia="zh-CN"/>
        </w:rPr>
        <w:t>滁州</w:t>
      </w:r>
      <w:r>
        <w:rPr>
          <w:rFonts w:hint="eastAsia" w:ascii="仿宋_GB2312" w:eastAsia="仿宋_GB2312"/>
          <w:sz w:val="32"/>
          <w:szCs w:val="32"/>
        </w:rPr>
        <w:t>市银行业协会</w:t>
      </w:r>
      <w:r>
        <w:rPr>
          <w:rFonts w:hint="eastAsia" w:ascii="仿宋_GB2312" w:eastAsia="仿宋_GB2312"/>
          <w:sz w:val="32"/>
          <w:szCs w:val="32"/>
          <w:lang w:val="en-US" w:eastAsia="zh-CN"/>
        </w:rPr>
        <w:t>在市投资大厦</w:t>
      </w:r>
      <w:r>
        <w:rPr>
          <w:rFonts w:hint="eastAsia" w:ascii="仿宋_GB2312" w:eastAsia="仿宋_GB2312"/>
          <w:sz w:val="32"/>
          <w:szCs w:val="32"/>
        </w:rPr>
        <w:t>召开</w:t>
      </w:r>
      <w:r>
        <w:rPr>
          <w:rFonts w:hint="eastAsia" w:ascii="仿宋_GB2312" w:eastAsia="仿宋_GB2312"/>
          <w:sz w:val="32"/>
          <w:szCs w:val="32"/>
          <w:lang w:eastAsia="zh-CN"/>
        </w:rPr>
        <w:t>《</w:t>
      </w:r>
      <w:r>
        <w:rPr>
          <w:rFonts w:hint="eastAsia" w:ascii="仿宋_GB2312" w:eastAsia="仿宋_GB2312"/>
          <w:sz w:val="32"/>
          <w:szCs w:val="32"/>
        </w:rPr>
        <w:t>“百行进万企”滁州推广</w:t>
      </w:r>
      <w:r>
        <w:rPr>
          <w:rFonts w:hint="eastAsia" w:ascii="仿宋_GB2312" w:eastAsia="仿宋_GB2312"/>
          <w:sz w:val="32"/>
          <w:szCs w:val="32"/>
          <w:lang w:val="en-US" w:eastAsia="zh-CN"/>
        </w:rPr>
        <w:t>方案</w:t>
      </w:r>
      <w:r>
        <w:rPr>
          <w:rFonts w:hint="eastAsia" w:ascii="仿宋_GB2312" w:eastAsia="仿宋_GB2312"/>
          <w:sz w:val="32"/>
          <w:szCs w:val="32"/>
        </w:rPr>
        <w:t>新闻发布会</w:t>
      </w:r>
      <w:r>
        <w:rPr>
          <w:rFonts w:hint="eastAsia" w:ascii="仿宋_GB2312" w:eastAsia="仿宋_GB2312"/>
          <w:sz w:val="32"/>
          <w:szCs w:val="32"/>
          <w:lang w:eastAsia="zh-CN"/>
        </w:rPr>
        <w:t>》</w:t>
      </w:r>
      <w:r>
        <w:rPr>
          <w:rFonts w:hint="eastAsia" w:ascii="仿宋_GB2312" w:eastAsia="仿宋_GB2312"/>
          <w:sz w:val="32"/>
          <w:szCs w:val="32"/>
        </w:rPr>
        <w:t>，</w:t>
      </w:r>
      <w:r>
        <w:rPr>
          <w:rFonts w:hint="eastAsia" w:ascii="仿宋_GB2312" w:eastAsia="仿宋_GB2312"/>
          <w:sz w:val="32"/>
          <w:szCs w:val="32"/>
          <w:lang w:val="en-US" w:eastAsia="zh-CN"/>
        </w:rPr>
        <w:t>邀请</w:t>
      </w:r>
      <w:r>
        <w:rPr>
          <w:rFonts w:hint="eastAsia" w:ascii="仿宋_GB2312" w:eastAsia="仿宋_GB2312"/>
          <w:sz w:val="32"/>
          <w:szCs w:val="32"/>
          <w:lang w:eastAsia="zh-CN"/>
        </w:rPr>
        <w:t>《</w:t>
      </w:r>
      <w:r>
        <w:rPr>
          <w:rFonts w:hint="eastAsia" w:ascii="仿宋_GB2312" w:eastAsia="仿宋_GB2312"/>
          <w:sz w:val="32"/>
          <w:szCs w:val="32"/>
        </w:rPr>
        <w:t>安徽日报</w:t>
      </w:r>
      <w:r>
        <w:rPr>
          <w:rFonts w:hint="eastAsia" w:ascii="仿宋_GB2312" w:eastAsia="仿宋_GB2312"/>
          <w:sz w:val="32"/>
          <w:szCs w:val="32"/>
          <w:lang w:eastAsia="zh-CN"/>
        </w:rPr>
        <w:t>》《</w:t>
      </w:r>
      <w:r>
        <w:rPr>
          <w:rFonts w:hint="eastAsia" w:ascii="仿宋_GB2312" w:eastAsia="仿宋_GB2312"/>
          <w:sz w:val="32"/>
          <w:szCs w:val="32"/>
        </w:rPr>
        <w:t xml:space="preserve">安徽法制报 </w:t>
      </w:r>
      <w:r>
        <w:rPr>
          <w:rFonts w:hint="eastAsia" w:ascii="仿宋_GB2312" w:eastAsia="仿宋_GB2312"/>
          <w:sz w:val="32"/>
          <w:szCs w:val="32"/>
          <w:lang w:eastAsia="zh-CN"/>
        </w:rPr>
        <w:t>》《</w:t>
      </w:r>
      <w:r>
        <w:rPr>
          <w:rFonts w:hint="eastAsia" w:ascii="仿宋_GB2312" w:eastAsia="仿宋_GB2312"/>
          <w:sz w:val="32"/>
          <w:szCs w:val="32"/>
        </w:rPr>
        <w:t>新安晚报</w:t>
      </w:r>
      <w:r>
        <w:rPr>
          <w:rFonts w:hint="eastAsia" w:ascii="仿宋_GB2312" w:eastAsia="仿宋_GB2312"/>
          <w:sz w:val="32"/>
          <w:szCs w:val="32"/>
          <w:lang w:eastAsia="zh-CN"/>
        </w:rPr>
        <w:t>》《</w:t>
      </w:r>
      <w:r>
        <w:rPr>
          <w:rFonts w:hint="eastAsia" w:ascii="仿宋_GB2312" w:eastAsia="仿宋_GB2312"/>
          <w:sz w:val="32"/>
          <w:szCs w:val="32"/>
        </w:rPr>
        <w:t xml:space="preserve">工商导报 </w:t>
      </w:r>
      <w:r>
        <w:rPr>
          <w:rFonts w:hint="eastAsia" w:ascii="仿宋_GB2312" w:eastAsia="仿宋_GB2312"/>
          <w:sz w:val="32"/>
          <w:szCs w:val="32"/>
          <w:lang w:eastAsia="zh-CN"/>
        </w:rPr>
        <w:t>》《</w:t>
      </w:r>
      <w:r>
        <w:rPr>
          <w:rFonts w:hint="eastAsia" w:ascii="仿宋_GB2312" w:eastAsia="仿宋_GB2312"/>
          <w:sz w:val="32"/>
          <w:szCs w:val="32"/>
        </w:rPr>
        <w:t xml:space="preserve">市场星报 </w:t>
      </w:r>
      <w:r>
        <w:rPr>
          <w:rFonts w:hint="eastAsia" w:ascii="仿宋_GB2312" w:eastAsia="仿宋_GB2312"/>
          <w:sz w:val="32"/>
          <w:szCs w:val="32"/>
          <w:lang w:eastAsia="zh-CN"/>
        </w:rPr>
        <w:t>》驻滁记者站负责人，</w:t>
      </w:r>
      <w:r>
        <w:rPr>
          <w:rFonts w:hint="eastAsia" w:ascii="仿宋_GB2312" w:eastAsia="仿宋_GB2312"/>
          <w:sz w:val="32"/>
          <w:szCs w:val="32"/>
          <w:lang w:val="en-US" w:eastAsia="zh-CN"/>
        </w:rPr>
        <w:t>以及</w:t>
      </w:r>
      <w:r>
        <w:rPr>
          <w:rFonts w:hint="eastAsia" w:ascii="仿宋_GB2312" w:eastAsia="仿宋_GB2312"/>
          <w:sz w:val="32"/>
          <w:szCs w:val="32"/>
          <w:lang w:eastAsia="zh-CN"/>
        </w:rPr>
        <w:t>《</w:t>
      </w:r>
      <w:r>
        <w:rPr>
          <w:rFonts w:hint="eastAsia" w:ascii="仿宋_GB2312" w:eastAsia="仿宋_GB2312"/>
          <w:sz w:val="32"/>
          <w:szCs w:val="32"/>
        </w:rPr>
        <w:t>滁州日报</w:t>
      </w:r>
      <w:r>
        <w:rPr>
          <w:rFonts w:hint="eastAsia" w:ascii="仿宋_GB2312" w:eastAsia="仿宋_GB2312"/>
          <w:sz w:val="32"/>
          <w:szCs w:val="32"/>
          <w:lang w:eastAsia="zh-CN"/>
        </w:rPr>
        <w:t>》《新滁州报》《</w:t>
      </w:r>
      <w:r>
        <w:rPr>
          <w:rFonts w:hint="eastAsia" w:ascii="仿宋_GB2312" w:eastAsia="仿宋_GB2312"/>
          <w:sz w:val="32"/>
          <w:szCs w:val="32"/>
        </w:rPr>
        <w:t>滁州电视台</w:t>
      </w:r>
      <w:r>
        <w:rPr>
          <w:rFonts w:hint="eastAsia" w:ascii="仿宋_GB2312" w:eastAsia="仿宋_GB2312"/>
          <w:sz w:val="32"/>
          <w:szCs w:val="32"/>
          <w:lang w:eastAsia="zh-CN"/>
        </w:rPr>
        <w:t>》、滁州市</w:t>
      </w:r>
      <w:r>
        <w:rPr>
          <w:rFonts w:hint="eastAsia" w:ascii="仿宋_GB2312" w:eastAsia="仿宋_GB2312"/>
          <w:sz w:val="32"/>
          <w:szCs w:val="32"/>
          <w:lang w:val="en-US" w:eastAsia="zh-CN"/>
        </w:rPr>
        <w:t>政府</w:t>
      </w:r>
      <w:r>
        <w:rPr>
          <w:rFonts w:hint="eastAsia" w:ascii="仿宋_GB2312" w:eastAsia="仿宋_GB2312"/>
          <w:sz w:val="32"/>
          <w:szCs w:val="32"/>
          <w:lang w:eastAsia="zh-CN"/>
        </w:rPr>
        <w:t>网站和新媒体中心</w:t>
      </w:r>
      <w:r>
        <w:rPr>
          <w:rFonts w:hint="eastAsia" w:ascii="仿宋_GB2312" w:eastAsia="仿宋_GB2312"/>
          <w:sz w:val="32"/>
          <w:szCs w:val="32"/>
        </w:rPr>
        <w:t xml:space="preserve"> </w:t>
      </w:r>
      <w:r>
        <w:rPr>
          <w:rFonts w:hint="eastAsia" w:ascii="仿宋_GB2312" w:eastAsia="仿宋_GB2312"/>
          <w:sz w:val="32"/>
          <w:szCs w:val="32"/>
          <w:lang w:eastAsia="zh-CN"/>
        </w:rPr>
        <w:t>、</w:t>
      </w:r>
      <w:r>
        <w:rPr>
          <w:rFonts w:hint="eastAsia" w:ascii="仿宋_GB2312" w:eastAsia="仿宋_GB2312"/>
          <w:sz w:val="32"/>
          <w:szCs w:val="32"/>
        </w:rPr>
        <w:t>E滁州网站</w:t>
      </w:r>
      <w:r>
        <w:rPr>
          <w:rFonts w:hint="eastAsia" w:ascii="仿宋_GB2312" w:eastAsia="仿宋_GB2312"/>
          <w:sz w:val="32"/>
          <w:szCs w:val="32"/>
          <w:lang w:eastAsia="zh-CN"/>
        </w:rPr>
        <w:t>等</w:t>
      </w:r>
      <w:r>
        <w:rPr>
          <w:rFonts w:hint="eastAsia" w:ascii="仿宋_GB2312" w:eastAsia="仿宋_GB2312"/>
          <w:sz w:val="32"/>
          <w:szCs w:val="32"/>
          <w:lang w:val="en-US" w:eastAsia="zh-CN"/>
        </w:rPr>
        <w:t>市内主流</w:t>
      </w:r>
      <w:r>
        <w:rPr>
          <w:rFonts w:hint="eastAsia" w:ascii="仿宋_GB2312" w:eastAsia="仿宋_GB2312"/>
          <w:sz w:val="32"/>
          <w:szCs w:val="32"/>
          <w:lang w:eastAsia="zh-CN"/>
        </w:rPr>
        <w:t>媒体记者</w:t>
      </w:r>
      <w:r>
        <w:rPr>
          <w:rFonts w:hint="eastAsia" w:ascii="仿宋_GB2312" w:eastAsia="仿宋_GB2312"/>
          <w:sz w:val="32"/>
          <w:szCs w:val="32"/>
          <w:lang w:val="en-US" w:eastAsia="zh-CN"/>
        </w:rPr>
        <w:t>到会，现场发布</w:t>
      </w:r>
      <w:r>
        <w:rPr>
          <w:rFonts w:hint="eastAsia" w:ascii="仿宋_GB2312" w:eastAsia="仿宋_GB2312"/>
          <w:sz w:val="32"/>
          <w:szCs w:val="32"/>
          <w:lang w:eastAsia="zh-CN"/>
        </w:rPr>
        <w:t>《</w:t>
      </w:r>
      <w:r>
        <w:rPr>
          <w:rFonts w:hint="eastAsia" w:ascii="仿宋_GB2312" w:eastAsia="仿宋_GB2312"/>
          <w:sz w:val="32"/>
          <w:szCs w:val="32"/>
        </w:rPr>
        <w:t>“百</w:t>
      </w:r>
      <w:r>
        <w:rPr>
          <w:rFonts w:hint="eastAsia" w:ascii="仿宋_GB2312" w:eastAsia="仿宋_GB2312"/>
          <w:sz w:val="32"/>
          <w:szCs w:val="32"/>
          <w:lang w:eastAsia="zh-CN"/>
        </w:rPr>
        <w:t>行进万企”滁州</w:t>
      </w:r>
      <w:r>
        <w:rPr>
          <w:rFonts w:hint="eastAsia" w:ascii="仿宋_GB2312" w:eastAsia="仿宋_GB2312"/>
          <w:sz w:val="32"/>
          <w:szCs w:val="32"/>
        </w:rPr>
        <w:t>推广工作方案</w:t>
      </w:r>
      <w:r>
        <w:rPr>
          <w:rFonts w:hint="eastAsia" w:ascii="仿宋_GB2312" w:eastAsia="仿宋_GB2312"/>
          <w:sz w:val="32"/>
          <w:szCs w:val="32"/>
          <w:lang w:eastAsia="zh-CN"/>
        </w:rPr>
        <w:t>》。</w:t>
      </w:r>
      <w:r>
        <w:rPr>
          <w:rFonts w:hint="eastAsia" w:ascii="仿宋_GB2312" w:eastAsia="仿宋_GB2312"/>
          <w:sz w:val="32"/>
          <w:szCs w:val="32"/>
        </w:rPr>
        <w:t>滁州银保监分局党委委员、副局长陈勇</w:t>
      </w:r>
      <w:r>
        <w:rPr>
          <w:rFonts w:hint="eastAsia" w:ascii="仿宋_GB2312" w:eastAsia="仿宋_GB2312"/>
          <w:sz w:val="32"/>
          <w:szCs w:val="32"/>
          <w:lang w:eastAsia="zh-CN"/>
        </w:rPr>
        <w:t>、滁州市银行业协会</w:t>
      </w:r>
      <w:r>
        <w:rPr>
          <w:rFonts w:hint="eastAsia" w:ascii="仿宋_GB2312" w:eastAsia="仿宋_GB2312"/>
          <w:sz w:val="32"/>
          <w:szCs w:val="32"/>
        </w:rPr>
        <w:t>专职副会长黄连祥</w:t>
      </w:r>
      <w:r>
        <w:rPr>
          <w:rFonts w:hint="eastAsia" w:ascii="仿宋_GB2312" w:eastAsia="仿宋_GB2312"/>
          <w:sz w:val="32"/>
          <w:szCs w:val="32"/>
          <w:lang w:eastAsia="zh-CN"/>
        </w:rPr>
        <w:t>、副会长畅勇及全市</w:t>
      </w:r>
      <w:r>
        <w:rPr>
          <w:rFonts w:hint="eastAsia" w:ascii="仿宋_GB2312" w:eastAsia="仿宋_GB2312"/>
          <w:sz w:val="32"/>
          <w:szCs w:val="32"/>
          <w:lang w:val="en-US" w:eastAsia="zh-CN"/>
        </w:rPr>
        <w:t>13家银行业金融机构新闻发言人参加会议。</w:t>
      </w:r>
    </w:p>
    <w:p>
      <w:pPr>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发布会上，协会第一副秘书长陈强、副秘书长唐敏分别就</w:t>
      </w:r>
      <w:r>
        <w:rPr>
          <w:rFonts w:hint="eastAsia" w:ascii="仿宋_GB2312" w:eastAsia="仿宋_GB2312"/>
          <w:sz w:val="32"/>
          <w:szCs w:val="32"/>
          <w:lang w:eastAsia="zh-CN"/>
        </w:rPr>
        <w:t>《</w:t>
      </w:r>
      <w:r>
        <w:rPr>
          <w:rFonts w:hint="eastAsia" w:ascii="仿宋_GB2312" w:eastAsia="仿宋_GB2312"/>
          <w:sz w:val="32"/>
          <w:szCs w:val="32"/>
        </w:rPr>
        <w:t>“百</w:t>
      </w:r>
      <w:r>
        <w:rPr>
          <w:rFonts w:hint="eastAsia" w:ascii="仿宋_GB2312" w:eastAsia="仿宋_GB2312"/>
          <w:sz w:val="32"/>
          <w:szCs w:val="32"/>
          <w:lang w:eastAsia="zh-CN"/>
        </w:rPr>
        <w:t>行进万企”滁州</w:t>
      </w:r>
      <w:r>
        <w:rPr>
          <w:rFonts w:hint="eastAsia" w:ascii="仿宋_GB2312" w:eastAsia="仿宋_GB2312"/>
          <w:sz w:val="32"/>
          <w:szCs w:val="32"/>
        </w:rPr>
        <w:t>推广工作方案</w:t>
      </w:r>
      <w:r>
        <w:rPr>
          <w:rFonts w:hint="eastAsia" w:ascii="仿宋_GB2312" w:eastAsia="仿宋_GB2312"/>
          <w:sz w:val="32"/>
          <w:szCs w:val="32"/>
          <w:lang w:eastAsia="zh-CN"/>
        </w:rPr>
        <w:t>》</w:t>
      </w:r>
      <w:r>
        <w:rPr>
          <w:rFonts w:hint="eastAsia" w:ascii="仿宋_GB2312" w:eastAsia="仿宋_GB2312"/>
          <w:sz w:val="32"/>
          <w:szCs w:val="32"/>
          <w:lang w:val="en-US" w:eastAsia="zh-CN"/>
        </w:rPr>
        <w:t>内容及活动意义等进行了解读。</w:t>
      </w:r>
      <w:r>
        <w:rPr>
          <w:rFonts w:hint="eastAsia" w:ascii="仿宋_GB2312" w:eastAsia="仿宋_GB2312"/>
          <w:sz w:val="32"/>
          <w:szCs w:val="32"/>
        </w:rPr>
        <w:t>滁州银保监分局党委委员、副局长陈勇同志</w:t>
      </w:r>
      <w:r>
        <w:rPr>
          <w:rFonts w:hint="eastAsia" w:ascii="仿宋_GB2312" w:eastAsia="仿宋_GB2312"/>
          <w:sz w:val="32"/>
          <w:szCs w:val="32"/>
          <w:lang w:val="en-US" w:eastAsia="zh-CN"/>
        </w:rPr>
        <w:t>对</w:t>
      </w:r>
      <w:r>
        <w:rPr>
          <w:rFonts w:hint="eastAsia" w:ascii="仿宋_GB2312" w:eastAsia="仿宋_GB2312"/>
          <w:sz w:val="32"/>
          <w:szCs w:val="32"/>
          <w:lang w:eastAsia="zh-CN"/>
        </w:rPr>
        <w:t>活动开展提出要求。</w:t>
      </w:r>
      <w:r>
        <w:rPr>
          <w:rFonts w:hint="eastAsia" w:ascii="仿宋_GB2312" w:eastAsia="仿宋_GB2312"/>
          <w:sz w:val="32"/>
          <w:szCs w:val="32"/>
          <w:lang w:val="en-US" w:eastAsia="zh-CN"/>
        </w:rPr>
        <w:t>陈局长在讲话中要求</w:t>
      </w:r>
      <w:r>
        <w:rPr>
          <w:rFonts w:hint="eastAsia" w:ascii="仿宋_GB2312" w:eastAsia="仿宋_GB2312"/>
          <w:sz w:val="32"/>
          <w:szCs w:val="32"/>
          <w:lang w:eastAsia="zh-CN"/>
        </w:rPr>
        <w:t>市银行业协会要做好组织推动</w:t>
      </w:r>
      <w:r>
        <w:rPr>
          <w:rFonts w:hint="eastAsia" w:ascii="仿宋_GB2312" w:eastAsia="仿宋_GB2312"/>
          <w:sz w:val="32"/>
          <w:szCs w:val="32"/>
          <w:lang w:val="en-US" w:eastAsia="zh-CN"/>
        </w:rPr>
        <w:t>和</w:t>
      </w:r>
      <w:r>
        <w:rPr>
          <w:rFonts w:hint="eastAsia" w:ascii="仿宋_GB2312" w:eastAsia="仿宋_GB2312"/>
          <w:sz w:val="32"/>
          <w:szCs w:val="32"/>
          <w:lang w:eastAsia="zh-CN"/>
        </w:rPr>
        <w:t>宣传引导，各银行业金融机构要确实承担“百行进万企”融资对接工作的第一责任人职责，积极开展融资对接工作，做好配套宣传，争取小微企业的支持配合。</w:t>
      </w:r>
      <w:r>
        <w:rPr>
          <w:rFonts w:hint="eastAsia" w:ascii="仿宋_GB2312" w:eastAsia="仿宋_GB2312"/>
          <w:sz w:val="32"/>
          <w:szCs w:val="32"/>
          <w:lang w:val="en-US" w:eastAsia="zh-CN"/>
        </w:rPr>
        <w:t>要充分发挥报刊、广播、电视和网络媒体的传播优势，提高社会公众尤其是小微企业对融资对接工作的知悉度，并希望媒体对银行业</w:t>
      </w:r>
      <w:r>
        <w:rPr>
          <w:rFonts w:hint="eastAsia" w:ascii="仿宋_GB2312" w:eastAsia="仿宋_GB2312"/>
          <w:sz w:val="32"/>
          <w:szCs w:val="32"/>
          <w:lang w:eastAsia="zh-CN"/>
        </w:rPr>
        <w:t>“百行进万企”活动给予</w:t>
      </w:r>
      <w:r>
        <w:rPr>
          <w:rFonts w:hint="eastAsia" w:ascii="仿宋_GB2312" w:eastAsia="仿宋_GB2312"/>
          <w:sz w:val="32"/>
          <w:szCs w:val="32"/>
          <w:lang w:val="en-US" w:eastAsia="zh-CN"/>
        </w:rPr>
        <w:t>关注和监督。银保监分局将在</w:t>
      </w:r>
      <w:r>
        <w:rPr>
          <w:rFonts w:hint="eastAsia" w:ascii="仿宋_GB2312" w:eastAsia="仿宋_GB2312"/>
          <w:sz w:val="32"/>
          <w:szCs w:val="32"/>
          <w:lang w:eastAsia="zh-CN"/>
        </w:rPr>
        <w:t>“百行进万企”活动</w:t>
      </w:r>
      <w:r>
        <w:rPr>
          <w:rFonts w:hint="eastAsia" w:ascii="仿宋_GB2312" w:eastAsia="仿宋_GB2312"/>
          <w:sz w:val="32"/>
          <w:szCs w:val="32"/>
          <w:lang w:val="en-US" w:eastAsia="zh-CN"/>
        </w:rPr>
        <w:t>全过程中加强指导，认真督导。</w:t>
      </w:r>
    </w:p>
    <w:p>
      <w:pPr>
        <w:autoSpaceDE w:val="0"/>
        <w:spacing w:line="560" w:lineRule="exact"/>
        <w:ind w:firstLine="643" w:firstLineChars="200"/>
        <w:rPr>
          <w:rFonts w:ascii="仿宋_GB2312" w:hAnsi="仿宋" w:eastAsia="仿宋_GB2312"/>
          <w:sz w:val="32"/>
          <w:szCs w:val="32"/>
        </w:rPr>
      </w:pPr>
      <w:r>
        <w:rPr>
          <w:rFonts w:hint="eastAsia" w:ascii="仿宋_GB2312" w:eastAsia="仿宋_GB2312"/>
          <w:b/>
          <w:bCs/>
          <w:sz w:val="32"/>
          <w:szCs w:val="32"/>
          <w:lang w:val="en-US" w:eastAsia="zh-CN"/>
        </w:rPr>
        <w:t>农行滁州分行</w:t>
      </w:r>
      <w:r>
        <w:rPr>
          <w:rFonts w:hint="eastAsia" w:ascii="仿宋_GB2312" w:eastAsia="仿宋_GB2312"/>
          <w:sz w:val="32"/>
          <w:szCs w:val="32"/>
          <w:lang w:val="en-US" w:eastAsia="zh-CN"/>
        </w:rPr>
        <w:t>根据</w:t>
      </w:r>
      <w:r>
        <w:rPr>
          <w:rFonts w:hint="eastAsia" w:ascii="仿宋_GB2312" w:eastAsia="仿宋_GB2312"/>
          <w:sz w:val="32"/>
          <w:szCs w:val="32"/>
        </w:rPr>
        <w:t>《方案》</w:t>
      </w:r>
      <w:r>
        <w:rPr>
          <w:rFonts w:hint="eastAsia" w:ascii="仿宋_GB2312" w:eastAsia="仿宋_GB2312"/>
          <w:sz w:val="32"/>
          <w:szCs w:val="32"/>
          <w:lang w:val="en-US" w:eastAsia="zh-CN"/>
        </w:rPr>
        <w:t>安排</w:t>
      </w:r>
      <w:r>
        <w:rPr>
          <w:rFonts w:hint="eastAsia" w:ascii="仿宋_GB2312" w:eastAsia="仿宋_GB2312"/>
          <w:sz w:val="32"/>
          <w:szCs w:val="32"/>
        </w:rPr>
        <w:t>，整个活动自2020年1月开始，按照组织启动、调研对接、分析总结三个步骤稳步推进</w:t>
      </w:r>
      <w:r>
        <w:rPr>
          <w:rFonts w:hint="eastAsia" w:ascii="仿宋_GB2312" w:eastAsia="仿宋_GB2312"/>
          <w:sz w:val="32"/>
          <w:szCs w:val="32"/>
          <w:lang w:eastAsia="zh-CN"/>
        </w:rPr>
        <w:t>，</w:t>
      </w:r>
      <w:r>
        <w:rPr>
          <w:rFonts w:hint="eastAsia" w:ascii="仿宋_GB2312" w:eastAsia="仿宋_GB2312"/>
          <w:sz w:val="32"/>
          <w:szCs w:val="32"/>
        </w:rPr>
        <w:t>2020年4月完成</w:t>
      </w:r>
      <w:r>
        <w:rPr>
          <w:rFonts w:hint="eastAsia" w:ascii="仿宋_GB2312" w:eastAsia="仿宋_GB2312"/>
          <w:sz w:val="32"/>
          <w:szCs w:val="32"/>
          <w:lang w:eastAsia="zh-CN"/>
        </w:rPr>
        <w:t>。</w:t>
      </w:r>
      <w:r>
        <w:rPr>
          <w:rFonts w:hint="eastAsia" w:ascii="仿宋_GB2312" w:hAnsi="仿宋" w:eastAsia="仿宋_GB2312"/>
          <w:sz w:val="32"/>
          <w:szCs w:val="32"/>
        </w:rPr>
        <w:t>农行滁州分行提出了具体的目标要求：一是对接客户达到2854户。各支行落实专人负责对接任务，确保《问卷1》发放比率达到100%。二是走访客户达到2284户以上。三是各支行按照实际对接户数确定放款客户数目标，全行放款客户达到286户。目前，辖内9家支行已组织网点在显著位置摆放宣传海报和易拉宝，梳理企业联系方式并对照清单开始电话和短信邀约客户。下一步将向企业客户推送《问卷1：客户意向调查》链接，确保1月31日前完成首轮调研。同时，以支行为单位建立《“百行进万企”调研工作台账》，在链接发送前和发送后分别与企业进行电话沟通，做好联系记录，保留短信截屏等证明材料，确保其收到问卷并且及时填写，实现客户全覆盖。对于确实无法联系或不配合调研的企业，在《调研台账》中做好工作记录，写明具体原因。</w:t>
      </w:r>
    </w:p>
    <w:p>
      <w:pPr>
        <w:autoSpaceDE w:val="0"/>
        <w:spacing w:line="560" w:lineRule="exact"/>
        <w:rPr>
          <w:rFonts w:ascii="仿宋" w:hAnsi="仿宋" w:eastAsia="仿宋"/>
          <w:sz w:val="32"/>
          <w:szCs w:val="32"/>
        </w:rPr>
      </w:pPr>
    </w:p>
    <w:p>
      <w:pPr>
        <w:ind w:firstLine="420" w:firstLineChars="200"/>
        <w:rPr>
          <w:rFonts w:ascii="Tahoma" w:hAnsi="Tahoma" w:eastAsia="微软雅黑"/>
          <w:sz w:val="22"/>
        </w:rPr>
      </w:pPr>
      <w:r>
        <w:drawing>
          <wp:inline distT="0" distB="0" distL="0" distR="0">
            <wp:extent cx="2152650" cy="2867025"/>
            <wp:effectExtent l="0" t="0" r="0" b="9525"/>
            <wp:docPr id="3" name="图片 1" descr="C:\DOCUME~1\ADMINI~1\LOCALS~1\Temp\ksohtml\wps2D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DOCUME~1\ADMINI~1\LOCALS~1\Temp\ksohtml\wps2D1.tmp.png"/>
                    <pic:cNvPicPr>
                      <a:picLocks noChangeAspect="1" noChangeArrowheads="1"/>
                    </pic:cNvPicPr>
                  </pic:nvPicPr>
                  <pic:blipFill>
                    <a:blip r:embed="rId5" cstate="print"/>
                    <a:srcRect/>
                    <a:stretch>
                      <a:fillRect/>
                    </a:stretch>
                  </pic:blipFill>
                  <pic:spPr>
                    <a:xfrm>
                      <a:off x="0" y="0"/>
                      <a:ext cx="2152650" cy="2867025"/>
                    </a:xfrm>
                    <a:prstGeom prst="rect">
                      <a:avLst/>
                    </a:prstGeom>
                    <a:noFill/>
                    <a:ln w="9525">
                      <a:noFill/>
                      <a:miter lim="800000"/>
                      <a:headEnd/>
                      <a:tailEnd/>
                    </a:ln>
                  </pic:spPr>
                </pic:pic>
              </a:graphicData>
            </a:graphic>
          </wp:inline>
        </w:drawing>
      </w:r>
      <w:r>
        <w:rPr>
          <w:rFonts w:hint="eastAsia" w:eastAsia="微软雅黑"/>
        </w:rPr>
        <w:t xml:space="preserve">     </w:t>
      </w:r>
      <w:r>
        <w:drawing>
          <wp:inline distT="0" distB="0" distL="0" distR="0">
            <wp:extent cx="2152650" cy="2876550"/>
            <wp:effectExtent l="0" t="0" r="0" b="0"/>
            <wp:docPr id="2" name="图片 2" descr="C:\DOCUME~1\ADMINI~1\LOCALS~1\Temp\ksohtml\wps2D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1\ADMINI~1\LOCALS~1\Temp\ksohtml\wps2D2.tmp.png"/>
                    <pic:cNvPicPr>
                      <a:picLocks noChangeAspect="1" noChangeArrowheads="1"/>
                    </pic:cNvPicPr>
                  </pic:nvPicPr>
                  <pic:blipFill>
                    <a:blip r:embed="rId6" cstate="print"/>
                    <a:srcRect/>
                    <a:stretch>
                      <a:fillRect/>
                    </a:stretch>
                  </pic:blipFill>
                  <pic:spPr>
                    <a:xfrm>
                      <a:off x="0" y="0"/>
                      <a:ext cx="2152650" cy="2876550"/>
                    </a:xfrm>
                    <a:prstGeom prst="rect">
                      <a:avLst/>
                    </a:prstGeom>
                    <a:noFill/>
                    <a:ln w="9525">
                      <a:noFill/>
                      <a:miter lim="800000"/>
                      <a:headEnd/>
                      <a:tailEnd/>
                    </a:ln>
                  </pic:spPr>
                </pic:pic>
              </a:graphicData>
            </a:graphic>
          </wp:inline>
        </w:drawing>
      </w:r>
    </w:p>
    <w:p>
      <w:pPr>
        <w:rPr>
          <w:rFonts w:eastAsia="宋体"/>
        </w:rPr>
      </w:pPr>
      <w:r>
        <w:t xml:space="preserve"> </w:t>
      </w:r>
    </w:p>
    <w:p>
      <w:pPr>
        <w:ind w:firstLine="643" w:firstLineChars="200"/>
        <w:jc w:val="both"/>
        <w:rPr>
          <w:rFonts w:ascii="仿宋_GB2312" w:hAnsi="方正仿宋_GBK" w:eastAsia="仿宋_GB2312" w:cs="方正仿宋_GBK"/>
          <w:sz w:val="32"/>
          <w:szCs w:val="32"/>
        </w:rPr>
      </w:pPr>
      <w:r>
        <w:rPr>
          <w:rFonts w:hint="eastAsia" w:ascii="仿宋_GB2312" w:eastAsia="仿宋_GB2312" w:hAnsiTheme="minorHAnsi" w:cstheme="minorBidi"/>
          <w:b/>
          <w:bCs/>
          <w:kern w:val="2"/>
          <w:sz w:val="32"/>
          <w:szCs w:val="32"/>
          <w:lang w:val="en-US" w:eastAsia="zh-CN" w:bidi="ar-SA"/>
        </w:rPr>
        <w:t>交通银行滁州分行</w:t>
      </w:r>
      <w:r>
        <w:rPr>
          <w:rFonts w:hint="eastAsia" w:ascii="仿宋_GB2312" w:hAnsi="方正仿宋_GBK" w:eastAsia="仿宋_GB2312" w:cs="方正仿宋_GBK"/>
          <w:sz w:val="32"/>
          <w:szCs w:val="32"/>
        </w:rPr>
        <w:t>2019年12月31日滁州分行公司部已将需对接的基本户企业清单共计181户下发至各经营单位，各经营单位立即组织干部员工开始行动。截止2020年1月15日收集调查问卷172户，其中在收集调查问卷的过程中，已有23户口头表达了希望行上门对接的意愿，我行已有3户上门对接并申报授信中。在宣传方面，交通银行滁州分行组织辖内所有营业网点在跑马屏等渠道进行宣传，同时与相关媒体合作，计划在媒体刊登宣传内容。在走访当地政府部门方面，交通银行滁州分行由行长刘圣华带队，拜访了苏滁现代产业园管委会，与分管领导和部门进行了对接。双方达成了春节后对园区企业的服务方向和初步方案。</w:t>
      </w:r>
    </w:p>
    <w:p>
      <w:pPr>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anchor distT="0" distB="0" distL="114300" distR="114300" simplePos="0" relativeHeight="251789312" behindDoc="0" locked="0" layoutInCell="1" allowOverlap="1">
            <wp:simplePos x="0" y="0"/>
            <wp:positionH relativeFrom="column">
              <wp:posOffset>28575</wp:posOffset>
            </wp:positionH>
            <wp:positionV relativeFrom="paragraph">
              <wp:posOffset>32385</wp:posOffset>
            </wp:positionV>
            <wp:extent cx="5276850" cy="3505200"/>
            <wp:effectExtent l="0" t="0" r="0" b="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6850" cy="3505200"/>
                    </a:xfrm>
                    <a:prstGeom prst="rect">
                      <a:avLst/>
                    </a:prstGeom>
                  </pic:spPr>
                </pic:pic>
              </a:graphicData>
            </a:graphic>
          </wp:anchor>
        </w:drawing>
      </w:r>
    </w:p>
    <w:p>
      <w:pPr>
        <w:ind w:firstLine="640" w:firstLineChars="200"/>
        <w:rPr>
          <w:rFonts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anchor distT="0" distB="0" distL="114300" distR="114300" simplePos="0" relativeHeight="251791360" behindDoc="0" locked="0" layoutInCell="1" allowOverlap="1">
            <wp:simplePos x="0" y="0"/>
            <wp:positionH relativeFrom="column">
              <wp:posOffset>28575</wp:posOffset>
            </wp:positionH>
            <wp:positionV relativeFrom="paragraph">
              <wp:posOffset>0</wp:posOffset>
            </wp:positionV>
            <wp:extent cx="5276850" cy="3952875"/>
            <wp:effectExtent l="0" t="0" r="0" b="9525"/>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850" cy="3952875"/>
                    </a:xfrm>
                    <a:prstGeom prst="rect">
                      <a:avLst/>
                    </a:prstGeom>
                  </pic:spPr>
                </pic:pic>
              </a:graphicData>
            </a:graphic>
          </wp:anchor>
        </w:drawing>
      </w:r>
    </w:p>
    <w:p>
      <w:pPr>
        <w:ind w:firstLine="640" w:firstLineChars="200"/>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300" distR="114300" simplePos="0" relativeHeight="251792384" behindDoc="0" locked="0" layoutInCell="1" allowOverlap="1">
            <wp:simplePos x="0" y="0"/>
            <wp:positionH relativeFrom="column">
              <wp:posOffset>133350</wp:posOffset>
            </wp:positionH>
            <wp:positionV relativeFrom="paragraph">
              <wp:posOffset>527685</wp:posOffset>
            </wp:positionV>
            <wp:extent cx="5067300" cy="3638550"/>
            <wp:effectExtent l="0" t="0" r="0" b="0"/>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7300" cy="3638550"/>
                    </a:xfrm>
                    <a:prstGeom prst="rect">
                      <a:avLst/>
                    </a:prstGeom>
                  </pic:spPr>
                </pic:pic>
              </a:graphicData>
            </a:graphic>
          </wp:anchor>
        </w:drawing>
      </w:r>
      <w:r>
        <w:rPr>
          <w:rFonts w:hint="eastAsia" w:ascii="方正仿宋_GBK" w:hAnsi="方正仿宋_GBK" w:eastAsia="方正仿宋_GBK" w:cs="方正仿宋_GBK"/>
          <w:sz w:val="32"/>
          <w:szCs w:val="32"/>
        </w:rPr>
        <w:t>网点员工协助客户填写问卷</w:t>
      </w:r>
    </w:p>
    <w:p>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客户经理走进企业进行活动宣传</w:t>
      </w:r>
    </w:p>
    <w:p>
      <w:pPr>
        <w:ind w:firstLine="640" w:firstLineChars="200"/>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anchor distT="0" distB="0" distL="114300" distR="114300" simplePos="0" relativeHeight="251793408" behindDoc="0" locked="0" layoutInCell="1" allowOverlap="1">
            <wp:simplePos x="0" y="0"/>
            <wp:positionH relativeFrom="column">
              <wp:posOffset>190500</wp:posOffset>
            </wp:positionH>
            <wp:positionV relativeFrom="paragraph">
              <wp:posOffset>51435</wp:posOffset>
            </wp:positionV>
            <wp:extent cx="4876800" cy="3657600"/>
            <wp:effectExtent l="0" t="0" r="0" b="0"/>
            <wp:wrapSquare wrapText="bothSides"/>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anchor>
        </w:drawing>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拜访苏滁现代产业园</w:t>
      </w:r>
    </w:p>
    <w:p>
      <w:pPr>
        <w:ind w:firstLine="640" w:firstLineChars="200"/>
        <w:rPr>
          <w:rFonts w:ascii="仿宋_GB2312" w:eastAsia="仿宋_GB2312"/>
          <w:sz w:val="32"/>
          <w:szCs w:val="32"/>
        </w:rPr>
      </w:pPr>
      <w:r>
        <w:rPr>
          <w:rFonts w:hint="eastAsia" w:ascii="方正仿宋_GBK" w:hAnsi="方正仿宋_GBK" w:eastAsia="方正仿宋_GBK" w:cs="方正仿宋_GBK"/>
          <w:sz w:val="32"/>
          <w:szCs w:val="32"/>
        </w:rPr>
        <w:drawing>
          <wp:anchor distT="0" distB="0" distL="114300" distR="114300" simplePos="0" relativeHeight="251795456" behindDoc="0" locked="0" layoutInCell="1" allowOverlap="1">
            <wp:simplePos x="0" y="0"/>
            <wp:positionH relativeFrom="column">
              <wp:posOffset>180975</wp:posOffset>
            </wp:positionH>
            <wp:positionV relativeFrom="paragraph">
              <wp:posOffset>13335</wp:posOffset>
            </wp:positionV>
            <wp:extent cx="5257800" cy="3943350"/>
            <wp:effectExtent l="0" t="0" r="0" b="0"/>
            <wp:wrapSquare wrapText="bothSides"/>
            <wp:docPr id="19" name="图片 2" descr="C:\Users\Administrator\Desktop\0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esktop\0115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7800" cy="3943350"/>
                    </a:xfrm>
                    <a:prstGeom prst="rect">
                      <a:avLst/>
                    </a:prstGeom>
                    <a:noFill/>
                    <a:ln>
                      <a:noFill/>
                    </a:ln>
                  </pic:spPr>
                </pic:pic>
              </a:graphicData>
            </a:graphic>
          </wp:anchor>
        </w:drawing>
      </w:r>
      <w:r>
        <w:rPr>
          <w:rFonts w:hint="eastAsia" w:ascii="仿宋_GB2312" w:eastAsia="仿宋_GB2312"/>
          <w:b/>
          <w:bCs/>
          <w:sz w:val="32"/>
          <w:szCs w:val="32"/>
        </w:rPr>
        <w:t>定远民丰村镇银行</w:t>
      </w:r>
      <w:r>
        <w:rPr>
          <w:rFonts w:hint="eastAsia" w:ascii="仿宋_GB2312" w:eastAsia="仿宋_GB2312"/>
          <w:sz w:val="32"/>
          <w:szCs w:val="32"/>
        </w:rPr>
        <w:t>从2019年12月底开始，定远民丰村镇银行在全行范围内掀起“百行进万企”走访活动高潮。行领导班子主动上门走访辖内小微企业，宣传金融帮扶政策，实地解决小微信贷融资难、融资贵的问题。</w:t>
      </w:r>
    </w:p>
    <w:p>
      <w:pPr>
        <w:jc w:val="both"/>
        <w:rPr>
          <w:rFonts w:ascii="仿宋_GB2312" w:eastAsia="仿宋_GB2312"/>
          <w:sz w:val="32"/>
          <w:szCs w:val="32"/>
        </w:rPr>
      </w:pPr>
      <w:r>
        <w:rPr>
          <w:rFonts w:hint="eastAsia" w:ascii="仿宋_GB2312" w:eastAsia="仿宋_GB2312"/>
          <w:sz w:val="32"/>
          <w:szCs w:val="32"/>
        </w:rPr>
        <w:drawing>
          <wp:inline distT="0" distB="0" distL="114300" distR="114300">
            <wp:extent cx="3836035" cy="3084195"/>
            <wp:effectExtent l="0" t="0" r="12065" b="1905"/>
            <wp:docPr id="21" name="图片 6" descr="“百行进万企”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百行进万企”照片1"/>
                    <pic:cNvPicPr>
                      <a:picLocks noChangeAspect="1"/>
                    </pic:cNvPicPr>
                  </pic:nvPicPr>
                  <pic:blipFill>
                    <a:blip r:embed="rId12" cstate="print"/>
                    <a:stretch>
                      <a:fillRect/>
                    </a:stretch>
                  </pic:blipFill>
                  <pic:spPr>
                    <a:xfrm>
                      <a:off x="0" y="0"/>
                      <a:ext cx="3836035" cy="3084195"/>
                    </a:xfrm>
                    <a:prstGeom prst="rect">
                      <a:avLst/>
                    </a:prstGeom>
                  </pic:spPr>
                </pic:pic>
              </a:graphicData>
            </a:graphic>
          </wp:inline>
        </w:drawing>
      </w:r>
    </w:p>
    <w:p>
      <w:pPr>
        <w:spacing w:line="579" w:lineRule="exact"/>
        <w:ind w:firstLine="640" w:firstLineChars="200"/>
        <w:rPr>
          <w:rFonts w:ascii="仿宋_GB2312" w:eastAsia="仿宋_GB2312"/>
          <w:sz w:val="32"/>
          <w:szCs w:val="32"/>
        </w:rPr>
      </w:pPr>
      <w:r>
        <w:rPr>
          <w:rFonts w:hint="eastAsia" w:ascii="仿宋_GB2312" w:eastAsia="仿宋_GB2312"/>
          <w:sz w:val="32"/>
          <w:szCs w:val="32"/>
        </w:rPr>
        <w:t>1月7日，袁帅行长和蒋健副行长深入安徽爱能洁生物科技有限公司走访调研，实地了解企业的经营现状、发展前景及融资需求状况，并倾听企业负责人的意见和建议。一月上旬，民丰银行董事长李干和信贷部领导等一行还分别对辖内的定远县祥瑞物业管理有限公司、定远县金隆鑫燃料油贸易有限公司、安徽省丰臣农化有限公司和安徽君临物业管理服务有限公司等多家企业进行了走访调研并得到了这些企业的认可和称赞。在走访过程中，行领导一边走进企业车间，实地了解企业生产状况；一边召开座谈会，听取企业负责人介绍企业发展经理、经营情况、发展规划以及融资需求、降低融资成本等心声，面对面搭起银企直接沟通的“桥梁”。</w:t>
      </w:r>
    </w:p>
    <w:p>
      <w:pPr>
        <w:spacing w:line="579" w:lineRule="exact"/>
        <w:ind w:firstLine="640" w:firstLineChars="200"/>
        <w:rPr>
          <w:rFonts w:ascii="仿宋_GB2312" w:eastAsia="仿宋_GB2312"/>
          <w:sz w:val="32"/>
          <w:szCs w:val="32"/>
        </w:rPr>
      </w:pPr>
      <w:r>
        <w:rPr>
          <w:rFonts w:hint="eastAsia" w:ascii="仿宋_GB2312" w:eastAsia="仿宋_GB2312"/>
          <w:sz w:val="32"/>
          <w:szCs w:val="32"/>
        </w:rPr>
        <w:t>截至目前，定远民丰村镇银行已走访小微企业12家。此次“百行进万企”活动也是送发展理念、送支持政策、送创新项目、送生产要素，服务实体经济“四送一服”的表现和深化。</w:t>
      </w:r>
    </w:p>
    <w:p>
      <w:pPr>
        <w:ind w:firstLine="643" w:firstLineChars="200"/>
        <w:rPr>
          <w:rFonts w:ascii="仿宋_GB2312" w:eastAsia="仿宋_GB2312"/>
          <w:sz w:val="32"/>
          <w:szCs w:val="32"/>
        </w:rPr>
      </w:pPr>
      <w:r>
        <w:rPr>
          <w:rFonts w:hint="eastAsia" w:ascii="仿宋_GB2312" w:eastAsia="仿宋_GB2312"/>
          <w:b/>
          <w:bCs/>
          <w:sz w:val="32"/>
          <w:szCs w:val="32"/>
        </w:rPr>
        <w:t>明光民丰村镇银行</w:t>
      </w:r>
      <w:r>
        <w:rPr>
          <w:rFonts w:hint="eastAsia" w:ascii="仿宋_GB2312" w:eastAsia="仿宋_GB2312"/>
          <w:sz w:val="32"/>
          <w:szCs w:val="32"/>
        </w:rPr>
        <w:t>根据文件相关要求，对辖区范围内诚信经营、信用良好的小微企业进行摸排梳理，确定四家走访企业，分别是：安徽明龙酒业有限公司、安徽嘉丰肥业有限公司、明光市欧柯莱太阳能有限公司、明光市嘉利达制衣有限公司。</w:t>
      </w:r>
    </w:p>
    <w:p>
      <w:pPr>
        <w:ind w:firstLine="643" w:firstLineChars="200"/>
        <w:jc w:val="left"/>
        <w:rPr>
          <w:rFonts w:ascii="仿宋_GB2312" w:eastAsia="仿宋_GB2312"/>
          <w:sz w:val="32"/>
          <w:szCs w:val="32"/>
        </w:rPr>
      </w:pPr>
      <w:r>
        <w:rPr>
          <w:rFonts w:hint="eastAsia" w:ascii="仿宋_GB2312" w:eastAsia="仿宋_GB2312"/>
          <w:b/>
          <w:bCs/>
          <w:sz w:val="32"/>
          <w:szCs w:val="32"/>
        </w:rPr>
        <w:t>全椒中银富登村镇银行</w:t>
      </w:r>
      <w:r>
        <w:rPr>
          <w:rFonts w:hint="eastAsia" w:ascii="仿宋_GB2312" w:eastAsia="仿宋_GB2312"/>
          <w:sz w:val="32"/>
          <w:szCs w:val="32"/>
        </w:rPr>
        <w:t>成立了相关的工作小组，确定了工作联络员并报送至协会。本次活动该行负责全椒县域内10户企业的对接工作。经联系</w:t>
      </w:r>
      <w:r>
        <w:rPr>
          <w:rFonts w:ascii="仿宋_GB2312" w:eastAsia="仿宋_GB2312"/>
          <w:sz w:val="32"/>
          <w:szCs w:val="32"/>
        </w:rPr>
        <w:t>并填写问卷，</w:t>
      </w:r>
      <w:r>
        <w:rPr>
          <w:rFonts w:hint="eastAsia" w:ascii="仿宋_GB2312" w:eastAsia="仿宋_GB2312"/>
          <w:sz w:val="32"/>
          <w:szCs w:val="32"/>
        </w:rPr>
        <w:t>无贷款需求7户：有贷款需求2户。</w:t>
      </w:r>
    </w:p>
    <w:p>
      <w:pPr>
        <w:ind w:firstLine="643" w:firstLineChars="200"/>
        <w:jc w:val="left"/>
        <w:rPr>
          <w:rFonts w:ascii="仿宋_GB2312" w:eastAsia="仿宋_GB2312"/>
          <w:sz w:val="32"/>
          <w:szCs w:val="32"/>
        </w:rPr>
      </w:pPr>
      <w:r>
        <w:rPr>
          <w:rFonts w:hint="eastAsia" w:ascii="仿宋_GB2312" w:eastAsia="仿宋_GB2312"/>
          <w:b/>
          <w:bCs/>
          <w:sz w:val="32"/>
          <w:szCs w:val="32"/>
        </w:rPr>
        <w:t>天长民生村镇银行</w:t>
      </w:r>
      <w:r>
        <w:rPr>
          <w:rFonts w:hint="eastAsia" w:ascii="仿宋_GB2312" w:eastAsia="仿宋_GB2312"/>
          <w:sz w:val="32"/>
          <w:szCs w:val="32"/>
        </w:rPr>
        <w:t>主动对接了清单中的企业。接到通知后第一时间安排该项工作，该行需要对接的企业只有一家，在该行开户主要办理银行承兑汇票托收业务。通过客户经理上门对接了解到，目前在他行有100万元的“云税贷”贷款能够满足其经营需求，无需增加其他贷款。</w:t>
      </w:r>
    </w:p>
    <w:p>
      <w:pPr>
        <w:ind w:firstLine="643" w:firstLineChars="200"/>
        <w:jc w:val="left"/>
        <w:rPr>
          <w:rFonts w:ascii="仿宋_GB2312" w:eastAsia="仿宋_GB2312"/>
          <w:sz w:val="32"/>
          <w:szCs w:val="32"/>
        </w:rPr>
      </w:pPr>
      <w:r>
        <w:rPr>
          <w:rFonts w:hint="eastAsia" w:ascii="仿宋_GB2312" w:eastAsia="仿宋_GB2312"/>
          <w:b/>
          <w:bCs/>
          <w:sz w:val="32"/>
          <w:szCs w:val="32"/>
        </w:rPr>
        <w:t>来安中银富登村镇银行</w:t>
      </w:r>
      <w:r>
        <w:rPr>
          <w:rFonts w:hint="eastAsia" w:ascii="仿宋_GB2312" w:eastAsia="仿宋_GB2312"/>
          <w:sz w:val="32"/>
          <w:szCs w:val="32"/>
        </w:rPr>
        <w:t>12月31日召开“百行进万企”融资对接活动启动会，对实施工作方案进行了解读，对工作的流程、对接的时间节点、注意事项等作了具体的要求，1月10日召开第二次动员会，再次强调“百行进万企”的重要意义、明确下阶段目标。筛选出14家小微企业并制定专人上门与企业进行深入沟通，为下一步工作的扎实开展奠定了坚实基础。一是1月18日召开集中座谈会，切实了解企业发展基本情况和融资诉求，深入分析企业融资困难的成因，及时发现金融服务的短板。二是走访过程中做好客户建档工作，向企业宣讲本行的小微企业融资政策截止目、金融产品和服务，不断拓宽获客渠道，走访过程中做到边走访、边梳理、边解决。三是利用网点电子屏、微信等渠道加大活动宣传。四是对拟定分配管户客户经理上门与客户对接，按日按周按月通报完成情况，对管户客户经理完成情况与绩效考核挂钩，确保本次活动工作的快速高效完成。</w:t>
      </w:r>
    </w:p>
    <w:p>
      <w:pPr>
        <w:ind w:firstLine="643" w:firstLineChars="200"/>
        <w:jc w:val="both"/>
        <w:rPr>
          <w:rFonts w:hint="eastAsia" w:ascii="仿宋_GB2312" w:hAnsi="仿宋" w:eastAsia="仿宋_GB2312" w:cs="仿宋"/>
          <w:sz w:val="32"/>
          <w:szCs w:val="32"/>
        </w:rPr>
      </w:pPr>
      <w:r>
        <w:rPr>
          <w:rFonts w:hint="eastAsia" w:ascii="仿宋_GB2312" w:eastAsia="仿宋_GB2312"/>
          <w:b/>
          <w:bCs/>
          <w:sz w:val="32"/>
          <w:szCs w:val="32"/>
        </w:rPr>
        <w:t>滁州农发行</w:t>
      </w:r>
      <w:r>
        <w:rPr>
          <w:rFonts w:hint="eastAsia" w:ascii="仿宋_GB2312" w:hAnsi="仿宋" w:eastAsia="仿宋_GB2312" w:cs="仿宋"/>
          <w:sz w:val="32"/>
          <w:szCs w:val="32"/>
        </w:rPr>
        <w:t>各县支行在营业网点的LED屏幕上，都打上了“百行进万企”的宣传标语，滚动播放活动口号。在人流流动性较大的街区，摆开宣讲台，对迎来过往的人群，宣传“百行进万企”的活动，让更多的人了解我行的政策。辖内各县支行在三天之内，快速推进企业对接事宜，最终确定滁州市内共12家需要对接的小微企业。下一步，</w:t>
      </w:r>
      <w:r>
        <w:rPr>
          <w:rFonts w:hint="eastAsia" w:ascii="仿宋_GB2312" w:hAnsi="仿宋" w:eastAsia="仿宋_GB2312" w:cs="仿宋"/>
          <w:sz w:val="32"/>
          <w:szCs w:val="32"/>
          <w:lang w:eastAsia="zh-CN"/>
        </w:rPr>
        <w:t>该</w:t>
      </w:r>
      <w:r>
        <w:rPr>
          <w:rFonts w:hint="eastAsia" w:ascii="仿宋_GB2312" w:hAnsi="仿宋" w:eastAsia="仿宋_GB2312" w:cs="仿宋"/>
          <w:sz w:val="32"/>
          <w:szCs w:val="32"/>
        </w:rPr>
        <w:t>行将更为深入的走访企业，更加深入地了解企业的融资需求，保证“百行进万企”活动的顺利完成。</w:t>
      </w:r>
    </w:p>
    <w:p>
      <w:pPr>
        <w:ind w:firstLine="643" w:firstLineChars="200"/>
        <w:jc w:val="both"/>
        <w:rPr>
          <w:rFonts w:ascii="仿宋_GB2312" w:hAnsi="宋体" w:eastAsia="仿宋_GB2312" w:cs="宋体"/>
          <w:bCs/>
          <w:kern w:val="0"/>
          <w:sz w:val="32"/>
          <w:szCs w:val="32"/>
        </w:rPr>
      </w:pPr>
      <w:r>
        <w:rPr>
          <w:rFonts w:hint="eastAsia" w:ascii="仿宋_GB2312" w:eastAsia="仿宋_GB2312" w:hAnsiTheme="minorHAnsi" w:cstheme="minorBidi"/>
          <w:b/>
          <w:bCs/>
          <w:kern w:val="2"/>
          <w:sz w:val="32"/>
          <w:szCs w:val="32"/>
          <w:lang w:val="en-US" w:eastAsia="zh-CN" w:bidi="ar-SA"/>
        </w:rPr>
        <w:t>滁州工行</w:t>
      </w:r>
      <w:r>
        <w:rPr>
          <w:rFonts w:hint="eastAsia" w:ascii="仿宋_GB2312" w:hAnsi="宋体" w:eastAsia="仿宋_GB2312" w:cs="宋体"/>
          <w:bCs/>
          <w:kern w:val="0"/>
          <w:sz w:val="32"/>
          <w:szCs w:val="32"/>
        </w:rPr>
        <w:t>截止目前已完成调查问卷收集32份，融资对接企业的数量3户、金额600万元。随着后续上级行群邀客户参与该项活动系统上线，我行将尽快推进扩大活动宣传面和企业走访数，按照活动各阶段要求完落实活动要求。</w:t>
      </w:r>
    </w:p>
    <w:p>
      <w:pPr>
        <w:ind w:firstLine="643" w:firstLineChars="200"/>
        <w:jc w:val="both"/>
        <w:rPr>
          <w:rFonts w:ascii="仿宋_GB2312" w:hAnsi="仿宋" w:eastAsia="仿宋_GB2312"/>
          <w:sz w:val="32"/>
          <w:szCs w:val="32"/>
        </w:rPr>
      </w:pPr>
      <w:r>
        <w:rPr>
          <w:rFonts w:hint="eastAsia" w:ascii="仿宋_GB2312" w:hAnsi="宋体" w:eastAsia="仿宋_GB2312" w:cs="宋体"/>
          <w:b/>
          <w:bCs/>
          <w:kern w:val="0"/>
          <w:sz w:val="32"/>
          <w:szCs w:val="32"/>
          <w:lang w:val="en-US" w:eastAsia="zh-CN" w:bidi="ar-SA"/>
        </w:rPr>
        <w:t>徽商银行滁州分行</w:t>
      </w:r>
      <w:r>
        <w:rPr>
          <w:rFonts w:hint="eastAsia" w:ascii="仿宋_GB2312" w:hAnsi="仿宋" w:eastAsia="仿宋_GB2312"/>
          <w:sz w:val="32"/>
          <w:szCs w:val="32"/>
        </w:rPr>
        <w:t>。2020年1月13日</w:t>
      </w:r>
      <w:r>
        <w:rPr>
          <w:rFonts w:hint="eastAsia" w:ascii="仿宋_GB2312" w:hAnsi="仿宋" w:eastAsia="仿宋_GB2312"/>
          <w:sz w:val="32"/>
          <w:szCs w:val="32"/>
          <w:lang w:eastAsia="zh-CN"/>
        </w:rPr>
        <w:t>，</w:t>
      </w:r>
      <w:r>
        <w:rPr>
          <w:rFonts w:hint="eastAsia" w:ascii="仿宋_GB2312" w:hAnsi="仿宋" w:eastAsia="仿宋_GB2312"/>
          <w:sz w:val="32"/>
          <w:szCs w:val="32"/>
        </w:rPr>
        <w:t>举办了女性企业家银企交流会活动，现场参会女企业家约100名，旨在做好宣传工作和后续对接走访工作，通过多样化的产品服务满足小微企业差异化的需求。目前完成了9户企业的走访和调查问卷的填写。</w:t>
      </w:r>
    </w:p>
    <w:p>
      <w:pPr>
        <w:spacing w:line="560" w:lineRule="exact"/>
        <w:ind w:firstLine="643" w:firstLineChars="200"/>
        <w:rPr>
          <w:rFonts w:hint="eastAsia" w:ascii="仿宋_GB2312" w:eastAsia="仿宋_GB2312" w:hAnsiTheme="minorEastAsia"/>
          <w:color w:val="1F497D"/>
          <w:sz w:val="32"/>
          <w:szCs w:val="32"/>
          <w:lang w:eastAsia="zh-CN"/>
        </w:rPr>
      </w:pPr>
      <w:r>
        <w:rPr>
          <w:rFonts w:hint="eastAsia" w:ascii="仿宋_GB2312" w:eastAsia="仿宋_GB2312" w:hAnsiTheme="minorEastAsia"/>
          <w:b/>
          <w:bCs/>
          <w:sz w:val="32"/>
          <w:szCs w:val="32"/>
        </w:rPr>
        <w:t>浦发银行滁州分行</w:t>
      </w:r>
      <w:r>
        <w:rPr>
          <w:rFonts w:hint="eastAsia" w:ascii="仿宋_GB2312" w:eastAsia="仿宋_GB2312" w:hAnsiTheme="minorEastAsia"/>
          <w:sz w:val="32"/>
          <w:szCs w:val="32"/>
          <w:lang w:eastAsia="zh-CN"/>
        </w:rPr>
        <w:t>共</w:t>
      </w:r>
      <w:r>
        <w:rPr>
          <w:rFonts w:hint="eastAsia" w:ascii="仿宋_GB2312" w:eastAsia="仿宋_GB2312" w:hAnsiTheme="minorEastAsia"/>
          <w:sz w:val="32"/>
          <w:szCs w:val="32"/>
        </w:rPr>
        <w:t>联系了六家企业，其中微信和电话联系五家企业，滁州沐辰劳务有限公司</w:t>
      </w:r>
      <w:r>
        <w:rPr>
          <w:rFonts w:hint="eastAsia" w:ascii="仿宋_GB2312" w:eastAsia="仿宋_GB2312" w:hAnsiTheme="minorEastAsia"/>
          <w:color w:val="000000"/>
          <w:sz w:val="32"/>
          <w:szCs w:val="32"/>
        </w:rPr>
        <w:t>经营劳务输出，目前在滁州无经营场所，暂无融资需求；</w:t>
      </w:r>
      <w:r>
        <w:rPr>
          <w:rFonts w:hint="eastAsia" w:ascii="仿宋_GB2312" w:eastAsia="仿宋_GB2312" w:cs="宋体" w:hAnsiTheme="minorEastAsia"/>
          <w:color w:val="000000"/>
          <w:kern w:val="0"/>
          <w:sz w:val="32"/>
          <w:szCs w:val="32"/>
        </w:rPr>
        <w:t>安徽捷博信息科技技术有限公司、滁州明滁商贸有限公司、滁州巨能商贸有限公司及滁州德欣商贸有限公司经过宣传调研得知企业暂无融资需求。零售营销部负责人实地走访了滁州智联冷暖设备有限公司，企业暂无融资需求。六家企业均已完成线上调查问卷</w:t>
      </w:r>
      <w:r>
        <w:rPr>
          <w:rFonts w:hint="eastAsia" w:ascii="仿宋_GB2312" w:eastAsia="仿宋_GB2312" w:cs="宋体" w:hAnsiTheme="minorEastAsia"/>
          <w:color w:val="000000"/>
          <w:kern w:val="0"/>
          <w:sz w:val="32"/>
          <w:szCs w:val="32"/>
          <w:lang w:eastAsia="zh-CN"/>
        </w:rPr>
        <w:t>。</w:t>
      </w:r>
    </w:p>
    <w:p>
      <w:pPr>
        <w:ind w:firstLine="643" w:firstLineChars="200"/>
        <w:jc w:val="both"/>
        <w:rPr>
          <w:rFonts w:ascii="仿宋_GB2312" w:hAnsi="仿宋" w:eastAsia="仿宋_GB2312" w:cs="仿宋"/>
          <w:sz w:val="32"/>
          <w:szCs w:val="32"/>
        </w:rPr>
      </w:pPr>
      <w:bookmarkStart w:id="0" w:name="_GoBack"/>
      <w:bookmarkEnd w:id="0"/>
      <w:r>
        <w:rPr>
          <w:rFonts w:hint="eastAsia" w:ascii="仿宋_GB2312" w:eastAsia="仿宋_GB2312" w:hAnsiTheme="minorEastAsia"/>
          <w:b/>
          <w:bCs/>
          <w:sz w:val="32"/>
          <w:szCs w:val="32"/>
        </w:rPr>
        <w:t>光大银行滁州分行</w:t>
      </w:r>
      <w:r>
        <w:rPr>
          <w:rFonts w:hint="eastAsia" w:ascii="仿宋_GB2312" w:hAnsi="仿宋" w:eastAsia="仿宋_GB2312" w:cs="仿宋"/>
          <w:sz w:val="32"/>
          <w:szCs w:val="32"/>
        </w:rPr>
        <w:t>至1月15日，已联系小微企业20余户。拓展对接渠道。在宣传调查外，我行还通过拜访滁州市经济开发区，充分了解园区内小微企业的业务需求。2020年1月20日，我行主要负责人带队，风险部和公司部相关人员陪同实地拜访了滁州市雅丽洁日用制品有限公司，与该公司负责人等进行了沟通交流，了解企业近期有200万元的融资需求。主动排忧解难。在得知滁州市雅丽洁日用制品有限公司抵押物已在它行办理授信业务，且无合适的担保物，我行在征得受访企业同意后立即与滁州市融资担保公司取得联系，并一起上门拜访了该企业。目前，我行和担保公司已完成对该企业的贷前调查，并收集了相关的授信材料，授信业务已上报相关部门审批。我行主动上门营销的行动受到受访企业的充分肯定。</w:t>
      </w:r>
    </w:p>
    <w:p>
      <w:pPr>
        <w:ind w:firstLine="643" w:firstLineChars="200"/>
        <w:jc w:val="both"/>
        <w:rPr>
          <w:rFonts w:ascii="仿宋_GB2312" w:hAnsi="宋体" w:eastAsia="仿宋_GB2312" w:cs="宋体"/>
          <w:bCs/>
          <w:kern w:val="0"/>
          <w:sz w:val="32"/>
          <w:szCs w:val="32"/>
        </w:rPr>
      </w:pPr>
      <w:r>
        <w:rPr>
          <w:rFonts w:hint="eastAsia" w:ascii="仿宋_GB2312" w:eastAsia="仿宋_GB2312" w:hAnsiTheme="minorEastAsia"/>
          <w:b/>
          <w:bCs/>
          <w:sz w:val="32"/>
          <w:szCs w:val="32"/>
        </w:rPr>
        <w:t>天长农商行</w:t>
      </w:r>
      <w:r>
        <w:rPr>
          <w:rFonts w:hint="eastAsia" w:ascii="仿宋_GB2312" w:hAnsi="Calibri" w:eastAsia="仿宋_GB2312" w:cs="Times New Roman"/>
          <w:sz w:val="32"/>
          <w:szCs w:val="32"/>
        </w:rPr>
        <w:t>截止1月15日，本行共发送调查问卷100余份，其中愿意接受上门走访30户左右。在接下来的工作中，本行将继续按照方案要求，将服务实体经济的职责使命落实到实处。</w:t>
      </w:r>
    </w:p>
    <w:p>
      <w:pPr>
        <w:spacing w:line="560" w:lineRule="exact"/>
        <w:ind w:firstLine="643" w:firstLineChars="200"/>
        <w:rPr>
          <w:rFonts w:ascii="仿宋_GB2312" w:eastAsia="仿宋_GB2312"/>
          <w:sz w:val="32"/>
          <w:szCs w:val="32"/>
        </w:rPr>
      </w:pPr>
      <w:r>
        <w:rPr>
          <w:rFonts w:hint="eastAsia" w:ascii="仿宋_GB2312" w:hAnsi="Calibri" w:eastAsia="仿宋_GB2312" w:cs="Times New Roman"/>
          <w:b/>
          <w:bCs/>
          <w:sz w:val="32"/>
          <w:szCs w:val="32"/>
        </w:rPr>
        <w:t>来安农商行</w:t>
      </w:r>
      <w:r>
        <w:rPr>
          <w:rFonts w:hint="eastAsia" w:ascii="仿宋_GB2312" w:hAnsi="Calibri" w:eastAsia="仿宋_GB2312" w:cs="Times New Roman"/>
          <w:sz w:val="32"/>
          <w:szCs w:val="32"/>
        </w:rPr>
        <w:t>于截止2020年1月15日，来安农商行共计上门走访小微企业71户，邀请企业在线填写问卷调查71份，其中部分小微企业在我行已有企业贷款授信，部分小微企业主或经营者在我行已有个人贷款，本阶段走访调研的小微企业暂无新增授信。</w:t>
      </w:r>
    </w:p>
    <w:p>
      <w:pPr>
        <w:spacing w:line="560" w:lineRule="exact"/>
        <w:ind w:firstLine="643" w:firstLineChars="200"/>
        <w:rPr>
          <w:rFonts w:ascii="仿宋_GB2312" w:hAnsi="宋体" w:eastAsia="仿宋_GB2312" w:cs="宋体"/>
          <w:bCs/>
          <w:kern w:val="0"/>
          <w:sz w:val="32"/>
          <w:szCs w:val="32"/>
        </w:rPr>
      </w:pPr>
      <w:r>
        <w:rPr>
          <w:rFonts w:hint="eastAsia" w:ascii="仿宋_GB2312" w:hAnsi="Calibri" w:eastAsia="仿宋_GB2312" w:cs="Times New Roman"/>
          <w:b/>
          <w:bCs/>
          <w:sz w:val="32"/>
          <w:szCs w:val="32"/>
        </w:rPr>
        <w:t>全椒农村商业银行</w:t>
      </w:r>
      <w:r>
        <w:rPr>
          <w:rFonts w:hint="eastAsia" w:ascii="仿宋_GB2312" w:hAnsi="宋体" w:eastAsia="仿宋_GB2312" w:cs="宋体"/>
          <w:sz w:val="32"/>
          <w:szCs w:val="32"/>
        </w:rPr>
        <w:t xml:space="preserve"> 积极开展“百行进万企”活动，利用各支行跑马屏进行活动宣传，向企业发送调查问卷，并安排客户经理与政府部门对接，目前已走访全椒县住房和城乡建设局，重点了解关注我县老旧小区改造项目。截至1月15日，已填写企业问卷20户；确定贷款企业4户，贷款金额1670万元。</w:t>
      </w:r>
    </w:p>
    <w:p>
      <w:pPr>
        <w:spacing w:line="560" w:lineRule="exact"/>
        <w:ind w:firstLine="643" w:firstLineChars="200"/>
        <w:rPr>
          <w:rFonts w:ascii="仿宋_GB2312" w:hAnsi="仿宋" w:eastAsia="仿宋_GB2312" w:cs="仿宋"/>
          <w:sz w:val="32"/>
          <w:szCs w:val="32"/>
        </w:rPr>
      </w:pPr>
      <w:r>
        <w:rPr>
          <w:rFonts w:hint="eastAsia" w:ascii="仿宋_GB2312" w:hAnsi="Calibri" w:eastAsia="仿宋_GB2312" w:cs="Times New Roman"/>
          <w:b/>
          <w:bCs/>
          <w:sz w:val="32"/>
          <w:szCs w:val="32"/>
        </w:rPr>
        <w:t>定远农商行</w:t>
      </w:r>
      <w:r>
        <w:rPr>
          <w:rFonts w:hint="eastAsia" w:ascii="仿宋_GB2312" w:hAnsi="仿宋" w:eastAsia="仿宋_GB2312" w:cs="仿宋"/>
          <w:sz w:val="32"/>
          <w:szCs w:val="32"/>
        </w:rPr>
        <w:t>高度重视此次“百行进万企”融资对接活动，专门召开网点负责人重点项目融资对接会，拟制“百行进万企”融资对接工作方案，采取“家家到”的方式，以“进客户门、解客户困、帮客户忙、助客户进”为宣传口号，积极开展融资对接工作。首先，利用电子屏、宣传栏、网站、公众号等媒介做好本行小微信贷政策、金融产品的宣传推介。</w:t>
      </w:r>
    </w:p>
    <w:p>
      <w:pPr>
        <w:widowControl/>
        <w:shd w:val="clear" w:color="auto" w:fill="FFFFFF"/>
        <w:spacing w:line="560" w:lineRule="exact"/>
        <w:ind w:firstLine="643" w:firstLineChars="200"/>
        <w:jc w:val="left"/>
        <w:rPr>
          <w:rFonts w:ascii="仿宋_GB2312" w:hAnsi="宋体" w:eastAsia="仿宋_GB2312" w:cs="黑体"/>
          <w:color w:val="000000"/>
          <w:sz w:val="32"/>
          <w:szCs w:val="32"/>
        </w:rPr>
      </w:pPr>
      <w:r>
        <w:rPr>
          <w:rFonts w:hint="eastAsia" w:ascii="仿宋_GB2312" w:hAnsi="Calibri" w:eastAsia="仿宋_GB2312" w:cs="Times New Roman"/>
          <w:b/>
          <w:bCs/>
          <w:kern w:val="2"/>
          <w:sz w:val="32"/>
          <w:szCs w:val="32"/>
          <w:lang w:val="en-US" w:eastAsia="zh-CN" w:bidi="ar-SA"/>
        </w:rPr>
        <w:t>明光农商行</w:t>
      </w:r>
      <w:r>
        <w:rPr>
          <w:rFonts w:hint="eastAsia" w:ascii="仿宋_GB2312" w:hAnsi="Arial" w:eastAsia="仿宋_GB2312" w:cs="Arial"/>
          <w:color w:val="333333"/>
          <w:sz w:val="32"/>
          <w:szCs w:val="32"/>
        </w:rPr>
        <w:t>及时将省联社提供的290户对接企业分派至管辖支行，逐户明确支行走访责任人，宣讲金融政策，推介金融产品</w:t>
      </w:r>
      <w:r>
        <w:rPr>
          <w:rFonts w:hint="eastAsia" w:ascii="仿宋_GB2312" w:hAnsi="Arial" w:eastAsia="仿宋_GB2312" w:cs="Arial"/>
          <w:color w:val="333333"/>
          <w:sz w:val="32"/>
          <w:szCs w:val="32"/>
          <w:lang w:val="zh-CN"/>
        </w:rPr>
        <w:t>。</w:t>
      </w:r>
    </w:p>
    <w:p>
      <w:pPr>
        <w:spacing w:line="560" w:lineRule="exact"/>
        <w:ind w:firstLine="643" w:firstLineChars="200"/>
        <w:rPr>
          <w:rFonts w:ascii="仿宋_GB2312" w:hAnsi="仿宋" w:eastAsia="仿宋_GB2312" w:cs="仿宋"/>
          <w:sz w:val="32"/>
          <w:szCs w:val="32"/>
        </w:rPr>
      </w:pPr>
      <w:r>
        <w:rPr>
          <w:rFonts w:hint="eastAsia" w:ascii="仿宋_GB2312" w:hAnsi="Calibri" w:eastAsia="仿宋_GB2312" w:cs="Times New Roman"/>
          <w:b/>
          <w:bCs/>
          <w:kern w:val="2"/>
          <w:sz w:val="32"/>
          <w:szCs w:val="32"/>
          <w:lang w:val="en-US" w:eastAsia="zh-CN" w:bidi="ar-SA"/>
        </w:rPr>
        <w:t>桐城农商行天长支行</w:t>
      </w:r>
      <w:r>
        <w:rPr>
          <w:rFonts w:hint="eastAsia" w:ascii="仿宋_GB2312" w:hAnsi="仿宋" w:eastAsia="仿宋_GB2312" w:cs="仿宋"/>
          <w:sz w:val="32"/>
          <w:szCs w:val="32"/>
        </w:rPr>
        <w:t>对于清单内的企业进行分配，确保每户企业由行长及两名客户经理展开走访活动。在实地走访开始前，由工作联络员对基层信贷人员进行培训动员，熟悉基本操作，本月选取天长市金太阳老年公寓及安徽中金供应链有限公司作为走访企业开展实地走访：</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4605020" cy="2957830"/>
            <wp:effectExtent l="0" t="0" r="5080" b="13970"/>
            <wp:docPr id="22" name="图片 2" descr="走访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走访照片"/>
                    <pic:cNvPicPr>
                      <a:picLocks noChangeAspect="1"/>
                    </pic:cNvPicPr>
                  </pic:nvPicPr>
                  <pic:blipFill>
                    <a:blip r:embed="rId13" cstate="print"/>
                    <a:stretch>
                      <a:fillRect/>
                    </a:stretch>
                  </pic:blipFill>
                  <pic:spPr>
                    <a:xfrm>
                      <a:off x="0" y="0"/>
                      <a:ext cx="4605020" cy="295783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 w:eastAsia="仿宋_GB2312" w:cs="仿宋"/>
          <w:sz w:val="32"/>
          <w:szCs w:val="32"/>
        </w:rPr>
        <w:t>在填写调查问卷的同时充分宣传我行的各项金融政策，了解企业的融资需求，提供融资咨询，对于企业提出的问题进行及时解答，对有融资计划的企业进行后续跟踪服务。行长亲自带队、客户经理等人陪同走访登记，行内高度重视此次活动，确定专门人员负责</w:t>
      </w:r>
      <w:r>
        <w:rPr>
          <w:rFonts w:hint="eastAsia" w:ascii="仿宋_GB2312" w:hAnsi="仿宋" w:eastAsia="仿宋_GB2312" w:cs="仿宋"/>
          <w:sz w:val="32"/>
          <w:szCs w:val="32"/>
          <w:lang w:eastAsia="zh-CN"/>
        </w:rPr>
        <w:t>。</w:t>
      </w:r>
    </w:p>
    <w:p>
      <w:pPr>
        <w:autoSpaceDE w:val="0"/>
        <w:autoSpaceDN w:val="0"/>
        <w:adjustRightInd w:val="0"/>
        <w:spacing w:line="520" w:lineRule="exact"/>
        <w:ind w:firstLine="643" w:firstLineChars="200"/>
        <w:rPr>
          <w:rFonts w:hint="eastAsia" w:ascii="仿宋_GB2312" w:hAnsi="仿宋" w:eastAsia="仿宋_GB2312" w:cs="仿宋"/>
          <w:sz w:val="32"/>
          <w:szCs w:val="32"/>
          <w:lang w:val="zh-CN"/>
        </w:rPr>
      </w:pPr>
      <w:r>
        <w:rPr>
          <w:rFonts w:hint="eastAsia" w:ascii="仿宋_GB2312" w:hAnsi="Calibri" w:eastAsia="仿宋_GB2312" w:cs="Times New Roman"/>
          <w:b/>
          <w:bCs/>
          <w:kern w:val="2"/>
          <w:sz w:val="32"/>
          <w:szCs w:val="32"/>
          <w:lang w:val="zh-CN" w:eastAsia="zh-CN" w:bidi="ar-SA"/>
        </w:rPr>
        <w:t>铜陵农商行定远支行</w:t>
      </w:r>
      <w:r>
        <w:rPr>
          <w:rFonts w:hint="eastAsia" w:ascii="仿宋_GB2312" w:hAnsi="仿宋" w:eastAsia="仿宋_GB2312" w:cs="仿宋"/>
          <w:sz w:val="32"/>
          <w:szCs w:val="32"/>
        </w:rPr>
        <w:t xml:space="preserve"> 在网点LED屏及大厅电视屏幕滚动播放“百行进万企”宣传口号，组织员工通过微信转发扩大宣传面，同时，柜面工作人员及大堂经理利用与客户面对面机会，</w:t>
      </w:r>
      <w:r>
        <w:rPr>
          <w:rFonts w:hint="eastAsia" w:ascii="仿宋_GB2312" w:hAnsi="仿宋" w:eastAsia="仿宋_GB2312" w:cs="仿宋"/>
          <w:sz w:val="32"/>
          <w:szCs w:val="32"/>
          <w:lang w:val="zh-CN"/>
        </w:rPr>
        <w:t>加强政策解读和产品宣传，增强小微企业对金融政策和银行服务的知悉度，逐户上门走访，对接客户需求。</w:t>
      </w:r>
      <w:r>
        <w:rPr>
          <w:rFonts w:hint="eastAsia" w:ascii="仿宋_GB2312" w:hAnsi="仿宋" w:eastAsia="仿宋_GB2312" w:cs="仿宋"/>
          <w:sz w:val="32"/>
          <w:szCs w:val="32"/>
        </w:rPr>
        <w:t>本次“百行进万企”共填写调查问卷6份，走访企业6户，有融资需求的企业2户，融资需求约800万元</w:t>
      </w:r>
      <w:r>
        <w:rPr>
          <w:rFonts w:hint="eastAsia" w:ascii="仿宋_GB2312" w:hAnsi="仿宋" w:eastAsia="仿宋_GB2312" w:cs="仿宋"/>
          <w:sz w:val="32"/>
          <w:szCs w:val="32"/>
          <w:lang w:val="zh-CN"/>
        </w:rPr>
        <w:t>。</w:t>
      </w:r>
    </w:p>
    <w:p>
      <w:pPr>
        <w:widowControl/>
        <w:jc w:val="left"/>
        <w:rPr>
          <w:rFonts w:ascii="仿宋" w:hAnsi="仿宋" w:eastAsia="仿宋"/>
          <w:sz w:val="30"/>
          <w:szCs w:val="30"/>
        </w:rPr>
      </w:pPr>
    </w:p>
    <w:p>
      <w:pPr>
        <w:widowControl/>
        <w:jc w:val="left"/>
        <w:rPr>
          <w:rFonts w:ascii="仿宋" w:hAnsi="仿宋" w:eastAsia="仿宋"/>
          <w:sz w:val="30"/>
          <w:szCs w:val="30"/>
        </w:rPr>
      </w:pPr>
    </w:p>
    <w:p>
      <w:pPr>
        <w:widowControl/>
        <w:jc w:val="left"/>
        <w:rPr>
          <w:rFonts w:ascii="仿宋" w:hAnsi="仿宋" w:eastAsia="仿宋"/>
          <w:sz w:val="30"/>
          <w:szCs w:val="30"/>
        </w:rPr>
      </w:pPr>
    </w:p>
    <w:p>
      <w:pPr>
        <w:widowControl/>
        <w:jc w:val="right"/>
        <w:rPr>
          <w:rFonts w:ascii="仿宋" w:hAnsi="仿宋" w:eastAsia="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0000000000000000000"/>
    <w:charset w:val="86"/>
    <w:family w:val="modern"/>
    <w:pitch w:val="default"/>
    <w:sig w:usb0="00000000" w:usb1="00000000" w:usb2="00000016" w:usb3="00000000" w:csb0="00040001" w:csb1="00000000"/>
  </w:font>
  <w:font w:name="仿宋">
    <w:altName w:val="宋体"/>
    <w:panose1 w:val="00000000000000000000"/>
    <w:charset w:val="86"/>
    <w:family w:val="modern"/>
    <w:pitch w:val="default"/>
    <w:sig w:usb0="00000000" w:usb1="00000000" w:usb2="00000016" w:usb3="00000000" w:csb0="00040001" w:csb1="00000000"/>
  </w:font>
  <w:font w:name="华文仿宋">
    <w:altName w:val="仿宋_GB2312"/>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 w:name="方正仿宋_GBK">
    <w:altName w:val="宋体"/>
    <w:panose1 w:val="00000000000000000000"/>
    <w:charset w:val="86"/>
    <w:family w:val="script"/>
    <w:pitch w:val="default"/>
    <w:sig w:usb0="00000000" w:usb1="00000000" w:usb2="00000010" w:usb3="00000000" w:csb0="003C0041" w:csb1="00000000"/>
  </w:font>
  <w:font w:name="Arial">
    <w:panose1 w:val="020B0604020202020204"/>
    <w:charset w:val="00"/>
    <w:family w:val="swiss"/>
    <w:pitch w:val="default"/>
    <w:sig w:usb0="00007A87" w:usb1="80000000" w:usb2="00000008" w:usb3="00000000" w:csb0="400001FF" w:csb1="FFFF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45214"/>
    <w:rsid w:val="000008AA"/>
    <w:rsid w:val="0001285E"/>
    <w:rsid w:val="00012DE7"/>
    <w:rsid w:val="00021749"/>
    <w:rsid w:val="000356B3"/>
    <w:rsid w:val="000364AB"/>
    <w:rsid w:val="000401F8"/>
    <w:rsid w:val="00056036"/>
    <w:rsid w:val="00062974"/>
    <w:rsid w:val="0006588F"/>
    <w:rsid w:val="000665E2"/>
    <w:rsid w:val="00072CB5"/>
    <w:rsid w:val="0008531F"/>
    <w:rsid w:val="00087D76"/>
    <w:rsid w:val="00092EA4"/>
    <w:rsid w:val="000979E1"/>
    <w:rsid w:val="000A1547"/>
    <w:rsid w:val="000A6DCC"/>
    <w:rsid w:val="000B5089"/>
    <w:rsid w:val="000C6025"/>
    <w:rsid w:val="000D5308"/>
    <w:rsid w:val="000D763E"/>
    <w:rsid w:val="000F420A"/>
    <w:rsid w:val="00125276"/>
    <w:rsid w:val="001335B5"/>
    <w:rsid w:val="00136C6F"/>
    <w:rsid w:val="00140D9F"/>
    <w:rsid w:val="00141000"/>
    <w:rsid w:val="00142918"/>
    <w:rsid w:val="00156D3D"/>
    <w:rsid w:val="00157B3F"/>
    <w:rsid w:val="001609E0"/>
    <w:rsid w:val="0016301D"/>
    <w:rsid w:val="0017033D"/>
    <w:rsid w:val="001928F7"/>
    <w:rsid w:val="00194BEE"/>
    <w:rsid w:val="001A2275"/>
    <w:rsid w:val="001A3609"/>
    <w:rsid w:val="001A60BC"/>
    <w:rsid w:val="001A74BB"/>
    <w:rsid w:val="001B6E10"/>
    <w:rsid w:val="001C4D47"/>
    <w:rsid w:val="001C5059"/>
    <w:rsid w:val="001C6910"/>
    <w:rsid w:val="001C761A"/>
    <w:rsid w:val="001E030D"/>
    <w:rsid w:val="00204579"/>
    <w:rsid w:val="00204BAA"/>
    <w:rsid w:val="00206FB3"/>
    <w:rsid w:val="002076B4"/>
    <w:rsid w:val="00207DBA"/>
    <w:rsid w:val="00211805"/>
    <w:rsid w:val="0023098E"/>
    <w:rsid w:val="00233A68"/>
    <w:rsid w:val="002353D6"/>
    <w:rsid w:val="0024104A"/>
    <w:rsid w:val="002452B9"/>
    <w:rsid w:val="0026068B"/>
    <w:rsid w:val="00272514"/>
    <w:rsid w:val="00282432"/>
    <w:rsid w:val="00284591"/>
    <w:rsid w:val="002933B9"/>
    <w:rsid w:val="002A079F"/>
    <w:rsid w:val="002B3700"/>
    <w:rsid w:val="002C7E1C"/>
    <w:rsid w:val="002E0BC1"/>
    <w:rsid w:val="002E4AC6"/>
    <w:rsid w:val="002E5EE7"/>
    <w:rsid w:val="002F07AC"/>
    <w:rsid w:val="002F5621"/>
    <w:rsid w:val="00315A6B"/>
    <w:rsid w:val="00316CD0"/>
    <w:rsid w:val="00317EE7"/>
    <w:rsid w:val="00323A20"/>
    <w:rsid w:val="00333525"/>
    <w:rsid w:val="0033619E"/>
    <w:rsid w:val="00342E9C"/>
    <w:rsid w:val="0034488E"/>
    <w:rsid w:val="00364420"/>
    <w:rsid w:val="0036724E"/>
    <w:rsid w:val="003805DF"/>
    <w:rsid w:val="003843E2"/>
    <w:rsid w:val="003927F8"/>
    <w:rsid w:val="003948B7"/>
    <w:rsid w:val="003A0184"/>
    <w:rsid w:val="003B1722"/>
    <w:rsid w:val="003C0A3A"/>
    <w:rsid w:val="003C5EF2"/>
    <w:rsid w:val="003D5267"/>
    <w:rsid w:val="003D7C25"/>
    <w:rsid w:val="003E029C"/>
    <w:rsid w:val="003E6E6E"/>
    <w:rsid w:val="003F1495"/>
    <w:rsid w:val="004016FC"/>
    <w:rsid w:val="0040514B"/>
    <w:rsid w:val="004102C9"/>
    <w:rsid w:val="0041228A"/>
    <w:rsid w:val="0041575D"/>
    <w:rsid w:val="004247FB"/>
    <w:rsid w:val="0042673E"/>
    <w:rsid w:val="00434395"/>
    <w:rsid w:val="00434396"/>
    <w:rsid w:val="0044435E"/>
    <w:rsid w:val="00464143"/>
    <w:rsid w:val="0046535D"/>
    <w:rsid w:val="00471877"/>
    <w:rsid w:val="004753D3"/>
    <w:rsid w:val="0048461D"/>
    <w:rsid w:val="00485BC5"/>
    <w:rsid w:val="00493FFA"/>
    <w:rsid w:val="004A1146"/>
    <w:rsid w:val="004A3D53"/>
    <w:rsid w:val="004B51CB"/>
    <w:rsid w:val="004D1E45"/>
    <w:rsid w:val="004E2A60"/>
    <w:rsid w:val="004E7C3B"/>
    <w:rsid w:val="004F37E4"/>
    <w:rsid w:val="004F5158"/>
    <w:rsid w:val="00510148"/>
    <w:rsid w:val="00530373"/>
    <w:rsid w:val="00531A53"/>
    <w:rsid w:val="005609B8"/>
    <w:rsid w:val="00576B43"/>
    <w:rsid w:val="00584202"/>
    <w:rsid w:val="005C18DB"/>
    <w:rsid w:val="005D0E18"/>
    <w:rsid w:val="005D1D1E"/>
    <w:rsid w:val="005D600D"/>
    <w:rsid w:val="005E1311"/>
    <w:rsid w:val="005E5284"/>
    <w:rsid w:val="005F066C"/>
    <w:rsid w:val="0060212F"/>
    <w:rsid w:val="00605529"/>
    <w:rsid w:val="00615357"/>
    <w:rsid w:val="00636F05"/>
    <w:rsid w:val="00650EE7"/>
    <w:rsid w:val="00662FB1"/>
    <w:rsid w:val="0066421B"/>
    <w:rsid w:val="00674AF9"/>
    <w:rsid w:val="006755A3"/>
    <w:rsid w:val="00677815"/>
    <w:rsid w:val="00685D89"/>
    <w:rsid w:val="00694956"/>
    <w:rsid w:val="00696016"/>
    <w:rsid w:val="006A069F"/>
    <w:rsid w:val="006B7933"/>
    <w:rsid w:val="006C18BF"/>
    <w:rsid w:val="006C3F00"/>
    <w:rsid w:val="006D3676"/>
    <w:rsid w:val="006E4F10"/>
    <w:rsid w:val="00705048"/>
    <w:rsid w:val="007224EC"/>
    <w:rsid w:val="00725557"/>
    <w:rsid w:val="0073449D"/>
    <w:rsid w:val="007400D5"/>
    <w:rsid w:val="00755D21"/>
    <w:rsid w:val="0076659A"/>
    <w:rsid w:val="00766CA3"/>
    <w:rsid w:val="007705FA"/>
    <w:rsid w:val="0077175C"/>
    <w:rsid w:val="007721CE"/>
    <w:rsid w:val="00791309"/>
    <w:rsid w:val="00795FA3"/>
    <w:rsid w:val="007A2EF3"/>
    <w:rsid w:val="007A2F9A"/>
    <w:rsid w:val="007B3C74"/>
    <w:rsid w:val="007C07FE"/>
    <w:rsid w:val="007C16D9"/>
    <w:rsid w:val="007D3F40"/>
    <w:rsid w:val="007D58C8"/>
    <w:rsid w:val="007E1F76"/>
    <w:rsid w:val="007E6843"/>
    <w:rsid w:val="007E74C6"/>
    <w:rsid w:val="007F2FAD"/>
    <w:rsid w:val="007F557B"/>
    <w:rsid w:val="007F6676"/>
    <w:rsid w:val="0081070E"/>
    <w:rsid w:val="00814287"/>
    <w:rsid w:val="00832DAB"/>
    <w:rsid w:val="00837046"/>
    <w:rsid w:val="00843A02"/>
    <w:rsid w:val="00851BA8"/>
    <w:rsid w:val="0085797C"/>
    <w:rsid w:val="008615EC"/>
    <w:rsid w:val="0086636E"/>
    <w:rsid w:val="008A3F16"/>
    <w:rsid w:val="008A41A3"/>
    <w:rsid w:val="008B1112"/>
    <w:rsid w:val="008D0E01"/>
    <w:rsid w:val="008D74EA"/>
    <w:rsid w:val="008E7C58"/>
    <w:rsid w:val="008F0AE5"/>
    <w:rsid w:val="008F34BC"/>
    <w:rsid w:val="008F46B0"/>
    <w:rsid w:val="00905286"/>
    <w:rsid w:val="00905D00"/>
    <w:rsid w:val="0090746B"/>
    <w:rsid w:val="0091001A"/>
    <w:rsid w:val="00912754"/>
    <w:rsid w:val="009261DF"/>
    <w:rsid w:val="009263A0"/>
    <w:rsid w:val="009338B3"/>
    <w:rsid w:val="00952DEA"/>
    <w:rsid w:val="009652BC"/>
    <w:rsid w:val="00965D3D"/>
    <w:rsid w:val="009700B1"/>
    <w:rsid w:val="00972C5B"/>
    <w:rsid w:val="00973129"/>
    <w:rsid w:val="00986F4C"/>
    <w:rsid w:val="009A5414"/>
    <w:rsid w:val="009A7C54"/>
    <w:rsid w:val="009B0D25"/>
    <w:rsid w:val="009C35F5"/>
    <w:rsid w:val="009D7815"/>
    <w:rsid w:val="009E17A6"/>
    <w:rsid w:val="009E4AA0"/>
    <w:rsid w:val="00A0178E"/>
    <w:rsid w:val="00A352B4"/>
    <w:rsid w:val="00A360C0"/>
    <w:rsid w:val="00A367A2"/>
    <w:rsid w:val="00A50FCB"/>
    <w:rsid w:val="00A57675"/>
    <w:rsid w:val="00A579B0"/>
    <w:rsid w:val="00A6335C"/>
    <w:rsid w:val="00A65746"/>
    <w:rsid w:val="00A67F0C"/>
    <w:rsid w:val="00A72390"/>
    <w:rsid w:val="00A73196"/>
    <w:rsid w:val="00A759A7"/>
    <w:rsid w:val="00A80310"/>
    <w:rsid w:val="00A84612"/>
    <w:rsid w:val="00A84A70"/>
    <w:rsid w:val="00A90ABE"/>
    <w:rsid w:val="00A97B7C"/>
    <w:rsid w:val="00AA5462"/>
    <w:rsid w:val="00AB0ED5"/>
    <w:rsid w:val="00AC3219"/>
    <w:rsid w:val="00AD31EB"/>
    <w:rsid w:val="00AD72CF"/>
    <w:rsid w:val="00AE3738"/>
    <w:rsid w:val="00AE53D8"/>
    <w:rsid w:val="00AE7332"/>
    <w:rsid w:val="00AF0074"/>
    <w:rsid w:val="00B01E6A"/>
    <w:rsid w:val="00B026AC"/>
    <w:rsid w:val="00B07981"/>
    <w:rsid w:val="00B13727"/>
    <w:rsid w:val="00B21B51"/>
    <w:rsid w:val="00B308C6"/>
    <w:rsid w:val="00B37122"/>
    <w:rsid w:val="00B4189F"/>
    <w:rsid w:val="00B4468D"/>
    <w:rsid w:val="00B473F8"/>
    <w:rsid w:val="00B506BF"/>
    <w:rsid w:val="00B5286D"/>
    <w:rsid w:val="00B611EE"/>
    <w:rsid w:val="00B73BC2"/>
    <w:rsid w:val="00B76059"/>
    <w:rsid w:val="00B9362F"/>
    <w:rsid w:val="00BA1EFE"/>
    <w:rsid w:val="00BB3E94"/>
    <w:rsid w:val="00BC2AAC"/>
    <w:rsid w:val="00BF3F4D"/>
    <w:rsid w:val="00BF4119"/>
    <w:rsid w:val="00BF7DF7"/>
    <w:rsid w:val="00C054E6"/>
    <w:rsid w:val="00C30DC2"/>
    <w:rsid w:val="00C35800"/>
    <w:rsid w:val="00C45214"/>
    <w:rsid w:val="00C46DD7"/>
    <w:rsid w:val="00C53198"/>
    <w:rsid w:val="00C55CFE"/>
    <w:rsid w:val="00C56553"/>
    <w:rsid w:val="00C82630"/>
    <w:rsid w:val="00C83DAF"/>
    <w:rsid w:val="00C87E45"/>
    <w:rsid w:val="00C96947"/>
    <w:rsid w:val="00CA105C"/>
    <w:rsid w:val="00CA6B58"/>
    <w:rsid w:val="00CB18C8"/>
    <w:rsid w:val="00CC176A"/>
    <w:rsid w:val="00CD123D"/>
    <w:rsid w:val="00CD3952"/>
    <w:rsid w:val="00CE3C0F"/>
    <w:rsid w:val="00CE7154"/>
    <w:rsid w:val="00CE77D2"/>
    <w:rsid w:val="00CF1336"/>
    <w:rsid w:val="00D05312"/>
    <w:rsid w:val="00D07B8A"/>
    <w:rsid w:val="00D11307"/>
    <w:rsid w:val="00D12D5C"/>
    <w:rsid w:val="00D16BBB"/>
    <w:rsid w:val="00D175EF"/>
    <w:rsid w:val="00D2394E"/>
    <w:rsid w:val="00D43540"/>
    <w:rsid w:val="00D45302"/>
    <w:rsid w:val="00D51957"/>
    <w:rsid w:val="00D64082"/>
    <w:rsid w:val="00D74F2F"/>
    <w:rsid w:val="00D84974"/>
    <w:rsid w:val="00DA32A3"/>
    <w:rsid w:val="00DA442C"/>
    <w:rsid w:val="00DC27AD"/>
    <w:rsid w:val="00DC2CE2"/>
    <w:rsid w:val="00DC5E8F"/>
    <w:rsid w:val="00DC6AF5"/>
    <w:rsid w:val="00DD5006"/>
    <w:rsid w:val="00DD5E61"/>
    <w:rsid w:val="00DE2662"/>
    <w:rsid w:val="00DF0432"/>
    <w:rsid w:val="00DF3C46"/>
    <w:rsid w:val="00DF7C46"/>
    <w:rsid w:val="00E064FB"/>
    <w:rsid w:val="00E10943"/>
    <w:rsid w:val="00E13DE9"/>
    <w:rsid w:val="00E2446C"/>
    <w:rsid w:val="00E5562B"/>
    <w:rsid w:val="00E62D21"/>
    <w:rsid w:val="00E67317"/>
    <w:rsid w:val="00E756AE"/>
    <w:rsid w:val="00E8008E"/>
    <w:rsid w:val="00E839F2"/>
    <w:rsid w:val="00E8655E"/>
    <w:rsid w:val="00EB2FF2"/>
    <w:rsid w:val="00EC61E9"/>
    <w:rsid w:val="00ED4FA0"/>
    <w:rsid w:val="00EE4DD4"/>
    <w:rsid w:val="00EF1C04"/>
    <w:rsid w:val="00EF3251"/>
    <w:rsid w:val="00EF48EC"/>
    <w:rsid w:val="00F00DE2"/>
    <w:rsid w:val="00F258D7"/>
    <w:rsid w:val="00F31169"/>
    <w:rsid w:val="00F36AD7"/>
    <w:rsid w:val="00F54C5E"/>
    <w:rsid w:val="00F56A3C"/>
    <w:rsid w:val="00F6165C"/>
    <w:rsid w:val="00F6301C"/>
    <w:rsid w:val="00F66CD1"/>
    <w:rsid w:val="00F779FD"/>
    <w:rsid w:val="00F82F91"/>
    <w:rsid w:val="00F83304"/>
    <w:rsid w:val="00F83873"/>
    <w:rsid w:val="00F83AB7"/>
    <w:rsid w:val="00F905BE"/>
    <w:rsid w:val="00F93A70"/>
    <w:rsid w:val="00F94B91"/>
    <w:rsid w:val="00F97385"/>
    <w:rsid w:val="00FA6DAF"/>
    <w:rsid w:val="00FD011C"/>
    <w:rsid w:val="01234A4E"/>
    <w:rsid w:val="035557B1"/>
    <w:rsid w:val="0A946EFC"/>
    <w:rsid w:val="0ECC3EC4"/>
    <w:rsid w:val="116A5C94"/>
    <w:rsid w:val="13291C0D"/>
    <w:rsid w:val="157A4D88"/>
    <w:rsid w:val="18FE3ABF"/>
    <w:rsid w:val="21DF3705"/>
    <w:rsid w:val="22843F70"/>
    <w:rsid w:val="235C58AF"/>
    <w:rsid w:val="26C4003C"/>
    <w:rsid w:val="2D8328EE"/>
    <w:rsid w:val="2E320D0B"/>
    <w:rsid w:val="2E9641EE"/>
    <w:rsid w:val="37064E01"/>
    <w:rsid w:val="4735383C"/>
    <w:rsid w:val="48B14467"/>
    <w:rsid w:val="49F145B2"/>
    <w:rsid w:val="4BEC6707"/>
    <w:rsid w:val="537B1279"/>
    <w:rsid w:val="58E437EE"/>
    <w:rsid w:val="5B9D40B7"/>
    <w:rsid w:val="5CB14990"/>
    <w:rsid w:val="5EF843A1"/>
    <w:rsid w:val="5F7B45A0"/>
    <w:rsid w:val="62BA653D"/>
    <w:rsid w:val="6EE036FE"/>
    <w:rsid w:val="71D825A4"/>
    <w:rsid w:val="742C5432"/>
    <w:rsid w:val="75EB10E1"/>
    <w:rsid w:val="7ABB25E4"/>
    <w:rsid w:val="7AC10C20"/>
    <w:rsid w:val="7C3B4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2"/>
    <w:basedOn w:val="1"/>
    <w:link w:val="14"/>
    <w:qFormat/>
    <w:uiPriority w:val="0"/>
    <w:rPr>
      <w:rFonts w:ascii="Times New Roman" w:hAnsi="Times New Roman" w:eastAsia="宋体" w:cs="Times New Roman"/>
      <w:b/>
      <w:color w:val="FF0000"/>
      <w:w w:val="95"/>
      <w:position w:val="80"/>
      <w:sz w:val="84"/>
      <w:szCs w:val="20"/>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眉 Char"/>
    <w:basedOn w:val="10"/>
    <w:link w:val="5"/>
    <w:semiHidden/>
    <w:uiPriority w:val="99"/>
    <w:rPr>
      <w:sz w:val="18"/>
      <w:szCs w:val="18"/>
    </w:rPr>
  </w:style>
  <w:style w:type="character" w:customStyle="1" w:styleId="12">
    <w:name w:val="页脚 Char"/>
    <w:basedOn w:val="10"/>
    <w:link w:val="4"/>
    <w:semiHidden/>
    <w:uiPriority w:val="99"/>
    <w:rPr>
      <w:sz w:val="18"/>
      <w:szCs w:val="18"/>
    </w:rPr>
  </w:style>
  <w:style w:type="character" w:customStyle="1" w:styleId="13">
    <w:name w:val="批注框文本 Char"/>
    <w:basedOn w:val="10"/>
    <w:link w:val="3"/>
    <w:semiHidden/>
    <w:uiPriority w:val="99"/>
    <w:rPr>
      <w:sz w:val="18"/>
      <w:szCs w:val="18"/>
    </w:rPr>
  </w:style>
  <w:style w:type="character" w:customStyle="1" w:styleId="14">
    <w:name w:val="正文文本 2 Char"/>
    <w:basedOn w:val="10"/>
    <w:link w:val="6"/>
    <w:qFormat/>
    <w:uiPriority w:val="0"/>
    <w:rPr>
      <w:rFonts w:ascii="Times New Roman" w:hAnsi="Times New Roman" w:eastAsia="宋体" w:cs="Times New Roman"/>
      <w:b/>
      <w:color w:val="FF0000"/>
      <w:w w:val="95"/>
      <w:position w:val="80"/>
      <w:sz w:val="84"/>
      <w:szCs w:val="20"/>
    </w:rPr>
  </w:style>
  <w:style w:type="character" w:customStyle="1" w:styleId="15">
    <w:name w:val="标题 1 Char"/>
    <w:basedOn w:val="10"/>
    <w:link w:val="2"/>
    <w:uiPriority w:val="9"/>
    <w:rPr>
      <w:b/>
      <w:bCs/>
      <w:kern w:val="44"/>
      <w:sz w:val="44"/>
      <w:szCs w:val="44"/>
    </w:rPr>
  </w:style>
  <w:style w:type="character" w:customStyle="1" w:styleId="16">
    <w:name w:val="NormalCharacter"/>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B4DDE8-A20F-417A-8973-C860EDF0026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32</Pages>
  <Words>1817</Words>
  <Characters>10363</Characters>
  <Lines>86</Lines>
  <Paragraphs>24</Paragraphs>
  <TotalTime>2</TotalTime>
  <ScaleCrop>false</ScaleCrop>
  <LinksUpToDate>false</LinksUpToDate>
  <CharactersWithSpaces>12156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2018-08-01T03:02:00Z</dcterms:created>
  <dc:creator>万户网络</dc:creator>
  <cp:lastModifiedBy>凉云暮叶</cp:lastModifiedBy>
  <cp:lastPrinted>2018-08-07T02:34:00Z</cp:lastPrinted>
  <dcterms:modified xsi:type="dcterms:W3CDTF">2020-01-19T09:32:15Z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